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ppt" ContentType="application/vnd.ms-powerpoi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A6" w:rsidRDefault="006C75FC" w:rsidP="00067E3B">
      <w:pPr>
        <w:spacing w:after="0"/>
        <w:outlineLvl w:val="0"/>
        <w:rPr>
          <w:b/>
          <w:bCs/>
          <w:sz w:val="36"/>
          <w:szCs w:val="36"/>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180975</wp:posOffset>
            </wp:positionH>
            <wp:positionV relativeFrom="paragraph">
              <wp:posOffset>-476885</wp:posOffset>
            </wp:positionV>
            <wp:extent cx="3057525" cy="847725"/>
            <wp:effectExtent l="0" t="0" r="9525" b="9525"/>
            <wp:wrapNone/>
            <wp:docPr id="2" name="Picture 5" descr="RC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P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posOffset>-76200</wp:posOffset>
            </wp:positionH>
            <wp:positionV relativeFrom="margin">
              <wp:posOffset>-474345</wp:posOffset>
            </wp:positionV>
            <wp:extent cx="2600325" cy="86487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864870"/>
                    </a:xfrm>
                    <a:prstGeom prst="rect">
                      <a:avLst/>
                    </a:prstGeom>
                    <a:noFill/>
                  </pic:spPr>
                </pic:pic>
              </a:graphicData>
            </a:graphic>
            <wp14:sizeRelH relativeFrom="page">
              <wp14:pctWidth>0</wp14:pctWidth>
            </wp14:sizeRelH>
            <wp14:sizeRelV relativeFrom="page">
              <wp14:pctHeight>0</wp14:pctHeight>
            </wp14:sizeRelV>
          </wp:anchor>
        </w:drawing>
      </w:r>
    </w:p>
    <w:p w:rsidR="00D036A6" w:rsidRPr="00067E3B" w:rsidRDefault="00D036A6" w:rsidP="00067E3B">
      <w:pPr>
        <w:spacing w:after="240"/>
        <w:jc w:val="center"/>
        <w:outlineLvl w:val="0"/>
        <w:rPr>
          <w:b/>
          <w:bCs/>
          <w:sz w:val="16"/>
          <w:szCs w:val="16"/>
        </w:rPr>
      </w:pPr>
    </w:p>
    <w:p w:rsidR="00D036A6" w:rsidRPr="00BC7ADD" w:rsidRDefault="00D036A6" w:rsidP="00067E3B">
      <w:pPr>
        <w:spacing w:after="240"/>
        <w:jc w:val="center"/>
        <w:outlineLvl w:val="0"/>
        <w:rPr>
          <w:b/>
          <w:bCs/>
          <w:sz w:val="36"/>
          <w:szCs w:val="36"/>
        </w:rPr>
      </w:pPr>
      <w:r w:rsidRPr="00BC7ADD">
        <w:rPr>
          <w:b/>
          <w:bCs/>
          <w:sz w:val="36"/>
          <w:szCs w:val="36"/>
        </w:rPr>
        <w:t>Audit Templa</w:t>
      </w:r>
      <w:r>
        <w:rPr>
          <w:b/>
          <w:bCs/>
          <w:sz w:val="36"/>
          <w:szCs w:val="36"/>
        </w:rPr>
        <w:t>t</w:t>
      </w:r>
      <w:r w:rsidRPr="00BC7ADD">
        <w:rPr>
          <w:b/>
          <w:bCs/>
          <w:sz w:val="36"/>
          <w:szCs w:val="36"/>
        </w:rPr>
        <w:t>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0"/>
        <w:gridCol w:w="4622"/>
      </w:tblGrid>
      <w:tr w:rsidR="00D036A6" w:rsidRPr="00BC7ADD">
        <w:tc>
          <w:tcPr>
            <w:tcW w:w="9242" w:type="dxa"/>
            <w:gridSpan w:val="2"/>
          </w:tcPr>
          <w:p w:rsidR="00D036A6" w:rsidRPr="00BC7ADD" w:rsidRDefault="00D036A6" w:rsidP="00BC7ADD">
            <w:pPr>
              <w:spacing w:after="0"/>
              <w:rPr>
                <w:b/>
                <w:bCs/>
              </w:rPr>
            </w:pPr>
            <w:r w:rsidRPr="00BC7ADD">
              <w:rPr>
                <w:b/>
                <w:bCs/>
              </w:rPr>
              <w:t>Audit Title:</w:t>
            </w:r>
            <w:r>
              <w:rPr>
                <w:b/>
                <w:bCs/>
              </w:rPr>
              <w:t xml:space="preserve"> Serum Indices</w:t>
            </w:r>
          </w:p>
          <w:p w:rsidR="00D036A6" w:rsidRPr="00BC7ADD" w:rsidRDefault="00D036A6" w:rsidP="00BC7ADD">
            <w:pPr>
              <w:spacing w:after="0"/>
            </w:pPr>
          </w:p>
          <w:p w:rsidR="00D036A6" w:rsidRPr="00BC7ADD" w:rsidRDefault="00D036A6" w:rsidP="00BC7ADD">
            <w:pPr>
              <w:spacing w:after="0"/>
            </w:pPr>
          </w:p>
        </w:tc>
      </w:tr>
      <w:tr w:rsidR="00D036A6" w:rsidRPr="00BC7ADD">
        <w:tc>
          <w:tcPr>
            <w:tcW w:w="4620" w:type="dxa"/>
          </w:tcPr>
          <w:p w:rsidR="00D036A6" w:rsidRPr="00BC7ADD" w:rsidRDefault="00D036A6" w:rsidP="00BC7ADD">
            <w:pPr>
              <w:spacing w:after="0"/>
              <w:rPr>
                <w:b/>
                <w:bCs/>
              </w:rPr>
            </w:pPr>
            <w:r w:rsidRPr="00BC7ADD">
              <w:rPr>
                <w:b/>
                <w:bCs/>
              </w:rPr>
              <w:t>Lead Auditor:</w:t>
            </w:r>
            <w:r>
              <w:rPr>
                <w:b/>
                <w:bCs/>
              </w:rPr>
              <w:t xml:space="preserve"> Christopher Parker</w:t>
            </w:r>
          </w:p>
        </w:tc>
        <w:tc>
          <w:tcPr>
            <w:tcW w:w="4622" w:type="dxa"/>
          </w:tcPr>
          <w:p w:rsidR="00D036A6" w:rsidRPr="00BC7ADD" w:rsidRDefault="00D036A6" w:rsidP="00BC7ADD">
            <w:pPr>
              <w:spacing w:after="0"/>
              <w:rPr>
                <w:b/>
                <w:bCs/>
              </w:rPr>
            </w:pPr>
            <w:r w:rsidRPr="00BC7ADD">
              <w:rPr>
                <w:b/>
                <w:bCs/>
              </w:rPr>
              <w:t>Audit date(s):</w:t>
            </w:r>
            <w:r>
              <w:rPr>
                <w:b/>
                <w:bCs/>
              </w:rPr>
              <w:t xml:space="preserve"> 22</w:t>
            </w:r>
            <w:r w:rsidRPr="00875DE0">
              <w:rPr>
                <w:b/>
                <w:bCs/>
                <w:vertAlign w:val="superscript"/>
              </w:rPr>
              <w:t>nd</w:t>
            </w:r>
            <w:r>
              <w:rPr>
                <w:b/>
                <w:bCs/>
              </w:rPr>
              <w:t xml:space="preserve"> October 2014 </w:t>
            </w:r>
          </w:p>
          <w:p w:rsidR="00D036A6" w:rsidRPr="00BC7ADD" w:rsidRDefault="00D036A6" w:rsidP="00BC7ADD">
            <w:pPr>
              <w:spacing w:after="0"/>
              <w:rPr>
                <w:sz w:val="18"/>
                <w:szCs w:val="18"/>
              </w:rPr>
            </w:pPr>
          </w:p>
          <w:p w:rsidR="00D036A6" w:rsidRPr="00BC7ADD" w:rsidRDefault="00D036A6" w:rsidP="00BC7ADD">
            <w:pPr>
              <w:spacing w:after="0"/>
              <w:rPr>
                <w:sz w:val="18"/>
                <w:szCs w:val="18"/>
              </w:rPr>
            </w:pPr>
          </w:p>
        </w:tc>
      </w:tr>
      <w:tr w:rsidR="00D036A6" w:rsidRPr="00BC7ADD">
        <w:tc>
          <w:tcPr>
            <w:tcW w:w="4620" w:type="dxa"/>
          </w:tcPr>
          <w:p w:rsidR="00D036A6" w:rsidRPr="00BC7ADD" w:rsidRDefault="00D036A6" w:rsidP="00BC7ADD">
            <w:pPr>
              <w:spacing w:after="0"/>
            </w:pPr>
            <w:r w:rsidRPr="00BC7ADD">
              <w:rPr>
                <w:sz w:val="18"/>
                <w:szCs w:val="18"/>
              </w:rPr>
              <w:t xml:space="preserve">Please indicate if   </w:t>
            </w:r>
            <w:r w:rsidRPr="00BC7ADD">
              <w:rPr>
                <w:b/>
                <w:bCs/>
              </w:rPr>
              <w:t>Local / Regional / National Audit</w:t>
            </w:r>
          </w:p>
          <w:p w:rsidR="00D036A6" w:rsidRPr="00BC7ADD" w:rsidRDefault="00D036A6" w:rsidP="00BC7ADD">
            <w:pPr>
              <w:spacing w:after="0"/>
              <w:rPr>
                <w:sz w:val="18"/>
                <w:szCs w:val="18"/>
              </w:rPr>
            </w:pPr>
            <w:r w:rsidRPr="00BC7ADD">
              <w:rPr>
                <w:sz w:val="18"/>
                <w:szCs w:val="18"/>
              </w:rPr>
              <w:t>Please indicate which hospital &amp; location or region</w:t>
            </w:r>
          </w:p>
          <w:p w:rsidR="00D036A6" w:rsidRPr="00BC7ADD" w:rsidRDefault="00D036A6" w:rsidP="00BC7ADD">
            <w:pPr>
              <w:spacing w:after="0"/>
              <w:rPr>
                <w:b/>
                <w:bCs/>
              </w:rPr>
            </w:pPr>
            <w:r>
              <w:rPr>
                <w:b/>
                <w:bCs/>
              </w:rPr>
              <w:t>Regional:  Thames Audit Group</w:t>
            </w:r>
          </w:p>
          <w:p w:rsidR="00D036A6" w:rsidRPr="00BC7ADD" w:rsidRDefault="00D036A6" w:rsidP="00BC7ADD">
            <w:pPr>
              <w:spacing w:after="0"/>
              <w:rPr>
                <w:b/>
                <w:bCs/>
              </w:rPr>
            </w:pPr>
          </w:p>
          <w:p w:rsidR="00D036A6" w:rsidRPr="00BC7ADD" w:rsidRDefault="00D036A6" w:rsidP="00BC7ADD">
            <w:pPr>
              <w:spacing w:after="0"/>
              <w:rPr>
                <w:b/>
                <w:bCs/>
              </w:rPr>
            </w:pPr>
          </w:p>
        </w:tc>
        <w:tc>
          <w:tcPr>
            <w:tcW w:w="4622" w:type="dxa"/>
          </w:tcPr>
          <w:p w:rsidR="00D036A6" w:rsidRPr="00BC7ADD" w:rsidRDefault="00D036A6" w:rsidP="00BC7ADD">
            <w:pPr>
              <w:spacing w:after="0"/>
              <w:rPr>
                <w:b/>
                <w:bCs/>
              </w:rPr>
            </w:pPr>
            <w:r w:rsidRPr="00BC7ADD">
              <w:rPr>
                <w:b/>
                <w:bCs/>
              </w:rPr>
              <w:t>Report Author:</w:t>
            </w:r>
          </w:p>
          <w:p w:rsidR="00D036A6" w:rsidRPr="00BC7ADD" w:rsidRDefault="00D036A6" w:rsidP="00BC7ADD">
            <w:pPr>
              <w:spacing w:after="0"/>
            </w:pPr>
            <w:r w:rsidRPr="00BC7ADD">
              <w:t>Name:</w:t>
            </w:r>
            <w:r>
              <w:t xml:space="preserve"> Christopher Parker</w:t>
            </w:r>
          </w:p>
          <w:p w:rsidR="00D036A6" w:rsidRPr="00BC7ADD" w:rsidRDefault="00D036A6" w:rsidP="00BC7ADD">
            <w:pPr>
              <w:spacing w:after="0"/>
            </w:pPr>
          </w:p>
          <w:p w:rsidR="00D036A6" w:rsidRPr="00BC7ADD" w:rsidRDefault="00D036A6" w:rsidP="00BC7ADD">
            <w:pPr>
              <w:spacing w:after="0"/>
            </w:pPr>
            <w:r w:rsidRPr="00BC7ADD">
              <w:t>Email:</w:t>
            </w:r>
            <w:r>
              <w:t>chrisparker1@nhs.net</w:t>
            </w:r>
          </w:p>
        </w:tc>
      </w:tr>
      <w:tr w:rsidR="00D036A6" w:rsidRPr="00BC7ADD">
        <w:tc>
          <w:tcPr>
            <w:tcW w:w="9242" w:type="dxa"/>
            <w:gridSpan w:val="2"/>
          </w:tcPr>
          <w:p w:rsidR="00D036A6" w:rsidRPr="00875DE0" w:rsidRDefault="00D036A6" w:rsidP="00BC7ADD">
            <w:pPr>
              <w:spacing w:after="0"/>
            </w:pPr>
            <w:r w:rsidRPr="00BC7ADD">
              <w:rPr>
                <w:b/>
                <w:bCs/>
              </w:rPr>
              <w:t>Aims of the Audit:</w:t>
            </w:r>
            <w:r>
              <w:t>To examine the  practise employed by different laboratories regarding samples that are compromised by haemolysis, lipaemia and icterus with a particular focus on lipaemia</w:t>
            </w:r>
          </w:p>
          <w:p w:rsidR="00D036A6" w:rsidRPr="00BC7ADD" w:rsidRDefault="00D036A6" w:rsidP="00BC7ADD">
            <w:pPr>
              <w:spacing w:after="0"/>
            </w:pPr>
          </w:p>
          <w:p w:rsidR="00D036A6" w:rsidRPr="00BC7ADD" w:rsidRDefault="00D036A6" w:rsidP="00BC7ADD">
            <w:pPr>
              <w:spacing w:after="0"/>
            </w:pPr>
          </w:p>
        </w:tc>
      </w:tr>
      <w:tr w:rsidR="00D036A6" w:rsidRPr="00BC7ADD">
        <w:tc>
          <w:tcPr>
            <w:tcW w:w="9242" w:type="dxa"/>
            <w:gridSpan w:val="2"/>
          </w:tcPr>
          <w:p w:rsidR="00D036A6" w:rsidRPr="00BC7ADD" w:rsidRDefault="00D036A6" w:rsidP="00BC7ADD">
            <w:pPr>
              <w:spacing w:after="0"/>
              <w:rPr>
                <w:b/>
                <w:bCs/>
              </w:rPr>
            </w:pPr>
            <w:r w:rsidRPr="00BC7ADD">
              <w:rPr>
                <w:b/>
                <w:bCs/>
              </w:rPr>
              <w:t>Audit Method and Outcome(s):</w:t>
            </w:r>
          </w:p>
          <w:p w:rsidR="00D036A6" w:rsidRDefault="00D036A6" w:rsidP="00BC7ADD">
            <w:pPr>
              <w:spacing w:after="0"/>
            </w:pPr>
            <w:r>
              <w:t>An audit questionnaire was written by Mr Edward Kearney and Mr Chris Parker. This was ratified by the Thames Audit Group (TAG) committee and sent to members of the TAG on 18</w:t>
            </w:r>
            <w:r w:rsidRPr="00875DE0">
              <w:rPr>
                <w:vertAlign w:val="superscript"/>
              </w:rPr>
              <w:t>th</w:t>
            </w:r>
            <w:r>
              <w:t xml:space="preserve"> August 2014. Completed questionnaires were received by the lead auditor between 18</w:t>
            </w:r>
            <w:r w:rsidRPr="00875DE0">
              <w:rPr>
                <w:vertAlign w:val="superscript"/>
              </w:rPr>
              <w:t>th</w:t>
            </w:r>
            <w:r>
              <w:t xml:space="preserve"> August and 26</w:t>
            </w:r>
            <w:r w:rsidRPr="00875DE0">
              <w:rPr>
                <w:vertAlign w:val="superscript"/>
              </w:rPr>
              <w:t>th</w:t>
            </w:r>
            <w:r>
              <w:t xml:space="preserve"> September 2014. Replies were collated and analysed and the results presented at a meeting of the TAG on 22</w:t>
            </w:r>
            <w:r w:rsidRPr="00875DE0">
              <w:rPr>
                <w:vertAlign w:val="superscript"/>
              </w:rPr>
              <w:t>nd</w:t>
            </w:r>
            <w:r>
              <w:t xml:space="preserve"> October 2014. </w:t>
            </w:r>
          </w:p>
          <w:p w:rsidR="00D036A6" w:rsidRPr="00BC7ADD" w:rsidRDefault="00D036A6" w:rsidP="00BC7ADD">
            <w:pPr>
              <w:spacing w:after="0"/>
            </w:pPr>
            <w:r>
              <w:t>Standards were drafted based on the findings of the audit and discussed at the TAG meeting. Revised standards were discussed at the following TAG committee meeting and an amended version was ratified following this meeting (23</w:t>
            </w:r>
            <w:r w:rsidRPr="002350AE">
              <w:rPr>
                <w:vertAlign w:val="superscript"/>
              </w:rPr>
              <w:t>rd</w:t>
            </w:r>
            <w:r>
              <w:t xml:space="preserve"> March 2015)</w:t>
            </w:r>
          </w:p>
          <w:p w:rsidR="00D036A6" w:rsidRPr="00BC7ADD" w:rsidRDefault="00D036A6" w:rsidP="00BC7ADD">
            <w:pPr>
              <w:spacing w:after="0"/>
            </w:pPr>
          </w:p>
          <w:p w:rsidR="00D036A6" w:rsidRPr="00BC7ADD" w:rsidRDefault="00D036A6" w:rsidP="00BC7ADD">
            <w:pPr>
              <w:spacing w:after="0"/>
            </w:pPr>
          </w:p>
          <w:p w:rsidR="00D036A6" w:rsidRPr="00BC7ADD" w:rsidRDefault="00D036A6" w:rsidP="00BC7ADD">
            <w:pPr>
              <w:spacing w:after="0"/>
            </w:pPr>
          </w:p>
        </w:tc>
      </w:tr>
      <w:tr w:rsidR="00D036A6" w:rsidRPr="00BC7ADD">
        <w:tc>
          <w:tcPr>
            <w:tcW w:w="9242" w:type="dxa"/>
            <w:gridSpan w:val="2"/>
          </w:tcPr>
          <w:p w:rsidR="00D036A6" w:rsidRPr="00BC7ADD" w:rsidRDefault="00D036A6" w:rsidP="00BC7ADD">
            <w:pPr>
              <w:spacing w:after="0"/>
              <w:rPr>
                <w:b/>
                <w:bCs/>
              </w:rPr>
            </w:pPr>
            <w:r w:rsidRPr="00BC7ADD">
              <w:rPr>
                <w:b/>
                <w:bCs/>
              </w:rPr>
              <w:t>Audit Recommendations / Standards:</w:t>
            </w:r>
          </w:p>
          <w:p w:rsidR="00D036A6" w:rsidRDefault="00D036A6" w:rsidP="002350AE">
            <w:pPr>
              <w:spacing w:after="0"/>
            </w:pPr>
            <w:r>
              <w:t>1.Standardised units should be used in the measurement of serum indices</w:t>
            </w:r>
          </w:p>
          <w:p w:rsidR="00D036A6" w:rsidRDefault="00D036A6" w:rsidP="002350AE">
            <w:pPr>
              <w:spacing w:after="0"/>
              <w:ind w:left="720"/>
            </w:pPr>
            <w:r>
              <w:t>•</w:t>
            </w:r>
            <w:r>
              <w:tab/>
              <w:t>Haemolysis: g/L</w:t>
            </w:r>
          </w:p>
          <w:p w:rsidR="00D036A6" w:rsidRDefault="00D036A6" w:rsidP="002350AE">
            <w:pPr>
              <w:spacing w:after="0"/>
              <w:ind w:left="720"/>
            </w:pPr>
            <w:r>
              <w:t>•</w:t>
            </w:r>
            <w:r>
              <w:tab/>
              <w:t>Icterus: Absorbance or µmol/L bilirubin</w:t>
            </w:r>
          </w:p>
          <w:p w:rsidR="00D036A6" w:rsidRDefault="00D036A6" w:rsidP="002350AE">
            <w:pPr>
              <w:spacing w:after="0"/>
              <w:ind w:left="720"/>
            </w:pPr>
            <w:r>
              <w:t>•</w:t>
            </w:r>
            <w:r>
              <w:tab/>
              <w:t>Lipaemia: mg/dL intralipid</w:t>
            </w:r>
          </w:p>
          <w:p w:rsidR="00D036A6" w:rsidRDefault="00D036A6" w:rsidP="002350AE">
            <w:pPr>
              <w:spacing w:after="0"/>
            </w:pPr>
            <w:r>
              <w:t>2.Serum indices should be measured in all samples for immunoassay</w:t>
            </w:r>
          </w:p>
          <w:p w:rsidR="00D036A6" w:rsidRDefault="00D036A6" w:rsidP="002350AE">
            <w:pPr>
              <w:spacing w:after="0"/>
            </w:pPr>
            <w:r>
              <w:t>3.Dilution of lipaemic samples should be considered as an easy way of removing interference from lipaemia. This method should be evaluated before routine use</w:t>
            </w:r>
          </w:p>
          <w:p w:rsidR="00D036A6" w:rsidRDefault="00D036A6" w:rsidP="002350AE">
            <w:pPr>
              <w:spacing w:after="0"/>
            </w:pPr>
            <w:r>
              <w:t>4.Triglycerides should be measured on relevant samples that are visibly lipaemic and/or have a high lipaemic index to potentially identify patients that could benefit from a specialist referral.</w:t>
            </w:r>
          </w:p>
          <w:p w:rsidR="00D036A6" w:rsidRDefault="00D036A6" w:rsidP="002350AE">
            <w:pPr>
              <w:spacing w:after="0"/>
            </w:pPr>
            <w:r>
              <w:t>5.A database of interference should be established to enable laboratories to share experience of the effects of interference.</w:t>
            </w:r>
          </w:p>
          <w:p w:rsidR="00D036A6" w:rsidRDefault="00D036A6" w:rsidP="002350AE">
            <w:pPr>
              <w:spacing w:after="0"/>
            </w:pPr>
            <w:r>
              <w:t>6.Triglyceride concentrations &gt;20 mmol/L should be phoned to the requesting clinician</w:t>
            </w:r>
          </w:p>
          <w:p w:rsidR="00D036A6" w:rsidRPr="00BC7ADD" w:rsidRDefault="00D036A6" w:rsidP="002350AE">
            <w:pPr>
              <w:spacing w:after="0"/>
            </w:pPr>
            <w:r>
              <w:t>7.Laboratories should have standalone compromised sample policies.</w:t>
            </w:r>
          </w:p>
        </w:tc>
      </w:tr>
      <w:tr w:rsidR="00D036A6" w:rsidRPr="00BC7ADD">
        <w:tc>
          <w:tcPr>
            <w:tcW w:w="9242" w:type="dxa"/>
            <w:gridSpan w:val="2"/>
          </w:tcPr>
          <w:p w:rsidR="00D036A6" w:rsidRPr="00BC7ADD" w:rsidRDefault="00D036A6" w:rsidP="00BC7ADD">
            <w:pPr>
              <w:spacing w:after="0"/>
              <w:rPr>
                <w:b/>
                <w:bCs/>
              </w:rPr>
            </w:pPr>
            <w:r w:rsidRPr="00BC7ADD">
              <w:rPr>
                <w:b/>
                <w:bCs/>
              </w:rPr>
              <w:t>Please indicate to whom and when audit presented  &amp;/or circulated</w:t>
            </w:r>
            <w:r>
              <w:rPr>
                <w:b/>
                <w:bCs/>
              </w:rPr>
              <w:t>&amp;/or published</w:t>
            </w:r>
            <w:r w:rsidRPr="00BC7ADD">
              <w:rPr>
                <w:b/>
                <w:bCs/>
              </w:rPr>
              <w:t>:</w:t>
            </w:r>
          </w:p>
          <w:p w:rsidR="00D036A6" w:rsidRPr="00BC7ADD" w:rsidRDefault="00D036A6" w:rsidP="00BC7ADD">
            <w:pPr>
              <w:spacing w:after="0"/>
            </w:pPr>
            <w:r>
              <w:t>Audit findings and draft standards presented to TAG, 22</w:t>
            </w:r>
            <w:r w:rsidRPr="001F5374">
              <w:rPr>
                <w:vertAlign w:val="superscript"/>
              </w:rPr>
              <w:t>nd</w:t>
            </w:r>
            <w:r>
              <w:t xml:space="preserve"> October 2014</w:t>
            </w:r>
          </w:p>
          <w:p w:rsidR="00D036A6" w:rsidRPr="00BC7ADD" w:rsidRDefault="00D036A6" w:rsidP="00BC7ADD">
            <w:pPr>
              <w:spacing w:after="0"/>
            </w:pPr>
          </w:p>
          <w:p w:rsidR="00D036A6" w:rsidRPr="00BC7ADD" w:rsidRDefault="00D036A6" w:rsidP="00BC7ADD">
            <w:pPr>
              <w:spacing w:after="0"/>
            </w:pPr>
          </w:p>
        </w:tc>
      </w:tr>
      <w:tr w:rsidR="00D036A6" w:rsidRPr="00BC7ADD">
        <w:tc>
          <w:tcPr>
            <w:tcW w:w="9242" w:type="dxa"/>
            <w:gridSpan w:val="2"/>
          </w:tcPr>
          <w:p w:rsidR="00D036A6" w:rsidRPr="00BC7ADD" w:rsidRDefault="00D036A6" w:rsidP="00BC7ADD">
            <w:pPr>
              <w:spacing w:after="0"/>
              <w:rPr>
                <w:b/>
                <w:bCs/>
              </w:rPr>
            </w:pPr>
            <w:r w:rsidRPr="00BC7ADD">
              <w:rPr>
                <w:b/>
                <w:bCs/>
              </w:rPr>
              <w:t>Audit recommendations / standards ratified by … and when:</w:t>
            </w:r>
          </w:p>
          <w:p w:rsidR="00D036A6" w:rsidRPr="00BC7ADD" w:rsidRDefault="00D036A6" w:rsidP="00BC7ADD">
            <w:pPr>
              <w:spacing w:after="0"/>
            </w:pPr>
            <w:r>
              <w:t>Ratified by TAG after committee meeting 23</w:t>
            </w:r>
            <w:r w:rsidRPr="001F5374">
              <w:rPr>
                <w:vertAlign w:val="superscript"/>
              </w:rPr>
              <w:t>rd</w:t>
            </w:r>
            <w:r>
              <w:t xml:space="preserve"> March 2015 </w:t>
            </w:r>
          </w:p>
          <w:p w:rsidR="00D036A6" w:rsidRPr="00BC7ADD" w:rsidRDefault="00D036A6" w:rsidP="00BC7ADD">
            <w:pPr>
              <w:spacing w:after="0"/>
            </w:pPr>
          </w:p>
          <w:p w:rsidR="00D036A6" w:rsidRPr="00BC7ADD" w:rsidRDefault="00D036A6" w:rsidP="00BC7ADD">
            <w:pPr>
              <w:spacing w:after="0"/>
            </w:pPr>
          </w:p>
        </w:tc>
      </w:tr>
      <w:tr w:rsidR="00D036A6" w:rsidRPr="00BC7ADD">
        <w:tc>
          <w:tcPr>
            <w:tcW w:w="9242" w:type="dxa"/>
            <w:gridSpan w:val="2"/>
          </w:tcPr>
          <w:p w:rsidR="00D036A6" w:rsidRPr="00BC7ADD" w:rsidRDefault="00D036A6" w:rsidP="00BC7ADD">
            <w:pPr>
              <w:spacing w:after="0"/>
              <w:rPr>
                <w:b/>
                <w:bCs/>
              </w:rPr>
            </w:pPr>
            <w:r w:rsidRPr="00BC7ADD">
              <w:rPr>
                <w:b/>
                <w:bCs/>
              </w:rPr>
              <w:lastRenderedPageBreak/>
              <w:t>Date of audit report:</w:t>
            </w:r>
          </w:p>
          <w:p w:rsidR="00D036A6" w:rsidRPr="00BC7ADD" w:rsidRDefault="00D036A6" w:rsidP="00BC7ADD">
            <w:pPr>
              <w:spacing w:after="0"/>
            </w:pPr>
            <w:r>
              <w:t>22</w:t>
            </w:r>
            <w:r w:rsidRPr="001F5374">
              <w:rPr>
                <w:vertAlign w:val="superscript"/>
              </w:rPr>
              <w:t>nd</w:t>
            </w:r>
            <w:r>
              <w:t xml:space="preserve"> October 2014</w:t>
            </w:r>
          </w:p>
        </w:tc>
      </w:tr>
      <w:tr w:rsidR="00D036A6" w:rsidRPr="00BC7ADD">
        <w:tc>
          <w:tcPr>
            <w:tcW w:w="9242" w:type="dxa"/>
            <w:gridSpan w:val="2"/>
          </w:tcPr>
          <w:p w:rsidR="00D036A6" w:rsidRDefault="00D036A6" w:rsidP="00BC7ADD">
            <w:pPr>
              <w:spacing w:after="0"/>
              <w:rPr>
                <w:b/>
                <w:bCs/>
              </w:rPr>
            </w:pPr>
            <w:r>
              <w:rPr>
                <w:b/>
                <w:bCs/>
              </w:rPr>
              <w:t xml:space="preserve">Audit documents for upload to </w:t>
            </w:r>
            <w:r w:rsidRPr="001E7001">
              <w:rPr>
                <w:b/>
                <w:bCs/>
              </w:rPr>
              <w:t>http://www.acb.org.uk/whatwedo/science/audit.aspx</w:t>
            </w:r>
          </w:p>
          <w:p w:rsidR="00D036A6" w:rsidRPr="00BC7ADD" w:rsidRDefault="00D036A6" w:rsidP="0000745A">
            <w:pPr>
              <w:spacing w:after="0"/>
              <w:rPr>
                <w:b/>
                <w:bCs/>
              </w:rPr>
            </w:pPr>
            <w:r w:rsidRPr="00FE28B0">
              <w:rPr>
                <w:b/>
                <w:bCs/>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8" ShapeID="_x0000_i1025" DrawAspect="Icon" ObjectID="_1502633476" r:id="rId11">
                  <o:FieldCodes>\s</o:FieldCodes>
                </o:OLEObject>
              </w:object>
            </w:r>
            <w:r w:rsidRPr="00FE28B0">
              <w:rPr>
                <w:b/>
                <w:bCs/>
              </w:rPr>
              <w:object w:dxaOrig="1536" w:dyaOrig="994">
                <v:shape id="_x0000_i1026" type="#_x0000_t75" style="width:75.75pt;height:49.5pt" o:ole="">
                  <v:imagedata r:id="rId12" o:title=""/>
                </v:shape>
                <o:OLEObject Type="Embed" ProgID="PowerPoint.Show.8" ShapeID="_x0000_i1026" DrawAspect="Icon" ObjectID="_1502633477" r:id="rId13"/>
              </w:object>
            </w:r>
            <w:r w:rsidRPr="00FE28B0">
              <w:rPr>
                <w:b/>
                <w:bCs/>
              </w:rPr>
              <w:object w:dxaOrig="1536" w:dyaOrig="994">
                <v:shape id="_x0000_i1027" type="#_x0000_t75" style="width:75.75pt;height:49.5pt" o:ole="">
                  <v:imagedata r:id="rId14" o:title=""/>
                </v:shape>
                <o:OLEObject Type="Embed" ProgID="Package" ShapeID="_x0000_i1027" DrawAspect="Content" ObjectID="_1502633478" r:id="rId15"/>
              </w:object>
            </w:r>
          </w:p>
        </w:tc>
      </w:tr>
    </w:tbl>
    <w:p w:rsidR="00D036A6" w:rsidRDefault="00D036A6" w:rsidP="00E91F94"/>
    <w:sectPr w:rsidR="00D036A6" w:rsidSect="00067E3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A6" w:rsidRDefault="00D036A6" w:rsidP="00E91F94">
      <w:pPr>
        <w:spacing w:after="0"/>
      </w:pPr>
      <w:r>
        <w:separator/>
      </w:r>
    </w:p>
  </w:endnote>
  <w:endnote w:type="continuationSeparator" w:id="0">
    <w:p w:rsidR="00D036A6" w:rsidRDefault="00D036A6" w:rsidP="00E91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A6" w:rsidRDefault="00D036A6" w:rsidP="00E91F94">
      <w:pPr>
        <w:spacing w:after="0"/>
      </w:pPr>
      <w:r>
        <w:separator/>
      </w:r>
    </w:p>
  </w:footnote>
  <w:footnote w:type="continuationSeparator" w:id="0">
    <w:p w:rsidR="00D036A6" w:rsidRDefault="00D036A6" w:rsidP="00E91F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583"/>
    <w:multiLevelType w:val="hybridMultilevel"/>
    <w:tmpl w:val="8E34F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42D516F"/>
    <w:multiLevelType w:val="hybridMultilevel"/>
    <w:tmpl w:val="BCC67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8E"/>
    <w:rsid w:val="0000745A"/>
    <w:rsid w:val="00067E3B"/>
    <w:rsid w:val="000A41A0"/>
    <w:rsid w:val="000E52F8"/>
    <w:rsid w:val="0010188E"/>
    <w:rsid w:val="00103346"/>
    <w:rsid w:val="00132419"/>
    <w:rsid w:val="00187984"/>
    <w:rsid w:val="001A2402"/>
    <w:rsid w:val="001E7001"/>
    <w:rsid w:val="001E7FE6"/>
    <w:rsid w:val="001F5374"/>
    <w:rsid w:val="00232CF5"/>
    <w:rsid w:val="002350AE"/>
    <w:rsid w:val="002416CA"/>
    <w:rsid w:val="002C4206"/>
    <w:rsid w:val="00376072"/>
    <w:rsid w:val="003D1E62"/>
    <w:rsid w:val="00411DD5"/>
    <w:rsid w:val="00440C38"/>
    <w:rsid w:val="004A2AD3"/>
    <w:rsid w:val="004E5188"/>
    <w:rsid w:val="005D7AFA"/>
    <w:rsid w:val="005E5838"/>
    <w:rsid w:val="00627DDC"/>
    <w:rsid w:val="00684256"/>
    <w:rsid w:val="006A0F6B"/>
    <w:rsid w:val="006A2774"/>
    <w:rsid w:val="006B0D90"/>
    <w:rsid w:val="006C75FC"/>
    <w:rsid w:val="00723047"/>
    <w:rsid w:val="00840D22"/>
    <w:rsid w:val="00875DE0"/>
    <w:rsid w:val="008A79BE"/>
    <w:rsid w:val="009C0A0E"/>
    <w:rsid w:val="009C23A3"/>
    <w:rsid w:val="00A225A8"/>
    <w:rsid w:val="00AF2E0E"/>
    <w:rsid w:val="00BC49A6"/>
    <w:rsid w:val="00BC7ADD"/>
    <w:rsid w:val="00C44365"/>
    <w:rsid w:val="00D036A6"/>
    <w:rsid w:val="00D25D74"/>
    <w:rsid w:val="00E91F94"/>
    <w:rsid w:val="00ED7158"/>
    <w:rsid w:val="00FB2B71"/>
    <w:rsid w:val="00FE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2774"/>
    <w:rPr>
      <w:rFonts w:ascii="Times New Roman" w:hAnsi="Times New Roman" w:cs="Times New Roman"/>
      <w:sz w:val="2"/>
      <w:szCs w:val="2"/>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basedOn w:val="DefaultParagraphFont"/>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basedOn w:val="DefaultParagraphFont"/>
    <w:link w:val="Footer"/>
    <w:uiPriority w:val="99"/>
    <w:locked/>
    <w:rsid w:val="00E91F94"/>
    <w:rPr>
      <w:sz w:val="22"/>
      <w:szCs w:val="22"/>
      <w:lang w:eastAsia="en-US"/>
    </w:rPr>
  </w:style>
  <w:style w:type="character" w:styleId="Hyperlink">
    <w:name w:val="Hyperlink"/>
    <w:basedOn w:val="DefaultParagraphFont"/>
    <w:uiPriority w:val="99"/>
    <w:rsid w:val="009C23A3"/>
    <w:rPr>
      <w:color w:val="0000FF"/>
      <w:u w:val="single"/>
    </w:rPr>
  </w:style>
  <w:style w:type="paragraph" w:styleId="NormalWeb">
    <w:name w:val="Normal (Web)"/>
    <w:basedOn w:val="Normal"/>
    <w:uiPriority w:val="99"/>
    <w:rsid w:val="009C23A3"/>
    <w:pPr>
      <w:spacing w:after="0"/>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2774"/>
    <w:rPr>
      <w:rFonts w:ascii="Times New Roman" w:hAnsi="Times New Roman" w:cs="Times New Roman"/>
      <w:sz w:val="2"/>
      <w:szCs w:val="2"/>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basedOn w:val="DefaultParagraphFont"/>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basedOn w:val="DefaultParagraphFont"/>
    <w:link w:val="Footer"/>
    <w:uiPriority w:val="99"/>
    <w:locked/>
    <w:rsid w:val="00E91F94"/>
    <w:rPr>
      <w:sz w:val="22"/>
      <w:szCs w:val="22"/>
      <w:lang w:eastAsia="en-US"/>
    </w:rPr>
  </w:style>
  <w:style w:type="character" w:styleId="Hyperlink">
    <w:name w:val="Hyperlink"/>
    <w:basedOn w:val="DefaultParagraphFont"/>
    <w:uiPriority w:val="99"/>
    <w:rsid w:val="009C23A3"/>
    <w:rPr>
      <w:color w:val="0000FF"/>
      <w:u w:val="single"/>
    </w:rPr>
  </w:style>
  <w:style w:type="paragraph" w:styleId="NormalWeb">
    <w:name w:val="Normal (Web)"/>
    <w:basedOn w:val="Normal"/>
    <w:uiPriority w:val="99"/>
    <w:rsid w:val="009C23A3"/>
    <w:pPr>
      <w:spacing w:after="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PowerPoint_97-2003_Presentation2.ppt"/><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Audit Template</vt:lpstr>
    </vt:vector>
  </TitlesOfParts>
  <Company>BCH NHS Trust</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dc:title>
  <dc:creator>M.Bignell</dc:creator>
  <cp:lastModifiedBy>Craig McKibbin</cp:lastModifiedBy>
  <cp:revision>2</cp:revision>
  <cp:lastPrinted>2014-09-17T17:37:00Z</cp:lastPrinted>
  <dcterms:created xsi:type="dcterms:W3CDTF">2015-09-01T16:25:00Z</dcterms:created>
  <dcterms:modified xsi:type="dcterms:W3CDTF">2015-09-01T16:25:00Z</dcterms:modified>
</cp:coreProperties>
</file>