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5D" w:rsidRDefault="00935844">
      <w:pPr>
        <w:spacing w:after="0"/>
        <w:outlineLvl w:val="0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noProof/>
          <w:sz w:val="36"/>
          <w:szCs w:val="36"/>
          <w:lang w:eastAsia="en-GB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-476250</wp:posOffset>
            </wp:positionV>
            <wp:extent cx="3058160" cy="84836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-75565</wp:posOffset>
            </wp:positionH>
            <wp:positionV relativeFrom="margin">
              <wp:posOffset>-473710</wp:posOffset>
            </wp:positionV>
            <wp:extent cx="2600960" cy="86550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85D" w:rsidRDefault="00D5585D">
      <w:pPr>
        <w:spacing w:after="240"/>
        <w:jc w:val="center"/>
        <w:outlineLvl w:val="0"/>
        <w:rPr>
          <w:b/>
          <w:bCs/>
          <w:sz w:val="16"/>
          <w:szCs w:val="16"/>
        </w:rPr>
      </w:pPr>
    </w:p>
    <w:p w:rsidR="00D5585D" w:rsidRDefault="00935844">
      <w:pPr>
        <w:spacing w:after="240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Audit Template</w:t>
      </w:r>
    </w:p>
    <w:tbl>
      <w:tblPr>
        <w:tblW w:w="9242" w:type="dxa"/>
        <w:tblInd w:w="-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620"/>
        <w:gridCol w:w="4622"/>
      </w:tblGrid>
      <w:tr w:rsidR="00D5585D">
        <w:tc>
          <w:tcPr>
            <w:tcW w:w="9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5585D" w:rsidRDefault="009358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Audit Title:</w:t>
            </w:r>
          </w:p>
          <w:p w:rsidR="00D5585D" w:rsidRDefault="008F1273">
            <w:pPr>
              <w:spacing w:after="0"/>
            </w:pPr>
            <w:r>
              <w:t>Thames regional audit on</w:t>
            </w:r>
            <w:r w:rsidR="00935844">
              <w:t xml:space="preserve"> </w:t>
            </w:r>
            <w:r>
              <w:t>Testosterone</w:t>
            </w:r>
          </w:p>
          <w:p w:rsidR="00D5585D" w:rsidRDefault="00D5585D">
            <w:pPr>
              <w:spacing w:after="0"/>
            </w:pPr>
          </w:p>
        </w:tc>
      </w:tr>
      <w:tr w:rsidR="00D5585D"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5585D" w:rsidRDefault="00935844">
            <w:pPr>
              <w:spacing w:after="0"/>
            </w:pPr>
            <w:r>
              <w:rPr>
                <w:b/>
                <w:bCs/>
              </w:rPr>
              <w:t>Lead Auditor:</w:t>
            </w:r>
          </w:p>
          <w:p w:rsidR="00D5585D" w:rsidRDefault="00935844">
            <w:pPr>
              <w:spacing w:after="0"/>
            </w:pPr>
            <w:r>
              <w:rPr>
                <w:b/>
                <w:bCs/>
              </w:rPr>
              <w:t>Funmi Akinlade</w:t>
            </w:r>
          </w:p>
        </w:tc>
        <w:tc>
          <w:tcPr>
            <w:tcW w:w="4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5585D" w:rsidRDefault="009358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Audit date(s):</w:t>
            </w:r>
          </w:p>
          <w:p w:rsidR="00D5585D" w:rsidRDefault="008F127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2019</w:t>
            </w:r>
          </w:p>
          <w:p w:rsidR="00D5585D" w:rsidRDefault="00D5585D">
            <w:pPr>
              <w:spacing w:after="0"/>
              <w:rPr>
                <w:sz w:val="18"/>
                <w:szCs w:val="18"/>
              </w:rPr>
            </w:pPr>
          </w:p>
        </w:tc>
      </w:tr>
      <w:tr w:rsidR="00D5585D"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5585D" w:rsidRDefault="00935844">
            <w:pPr>
              <w:spacing w:after="0"/>
            </w:pPr>
            <w:r>
              <w:rPr>
                <w:sz w:val="18"/>
                <w:szCs w:val="18"/>
              </w:rPr>
              <w:t xml:space="preserve">Please indicate if   </w:t>
            </w:r>
            <w:r>
              <w:rPr>
                <w:b/>
                <w:bCs/>
              </w:rPr>
              <w:t>Regional</w:t>
            </w:r>
          </w:p>
          <w:p w:rsidR="00D5585D" w:rsidRDefault="0093584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indicate which hospital &amp; location or region</w:t>
            </w:r>
          </w:p>
          <w:p w:rsidR="00D5585D" w:rsidRDefault="009358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Queen's Hospital, Romford</w:t>
            </w:r>
          </w:p>
          <w:p w:rsidR="00D5585D" w:rsidRDefault="009358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Southern region</w:t>
            </w:r>
          </w:p>
          <w:p w:rsidR="00D5585D" w:rsidRDefault="00D5585D">
            <w:pPr>
              <w:spacing w:after="0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5585D" w:rsidRDefault="009358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Report Author:</w:t>
            </w:r>
          </w:p>
          <w:p w:rsidR="00D5585D" w:rsidRDefault="00935844">
            <w:pPr>
              <w:spacing w:after="0"/>
            </w:pPr>
            <w:r>
              <w:t>Name: Funmi Akinlade</w:t>
            </w:r>
          </w:p>
          <w:p w:rsidR="00D5585D" w:rsidRDefault="00D5585D">
            <w:pPr>
              <w:spacing w:after="0"/>
            </w:pPr>
          </w:p>
          <w:p w:rsidR="00D5585D" w:rsidRDefault="00935844" w:rsidP="00A55CFC">
            <w:pPr>
              <w:spacing w:after="0"/>
            </w:pPr>
            <w:r>
              <w:t xml:space="preserve">Email: </w:t>
            </w:r>
            <w:hyperlink r:id="rId8" w:history="1">
              <w:r w:rsidR="00523DA2" w:rsidRPr="00944B96">
                <w:rPr>
                  <w:rStyle w:val="Hyperlink"/>
                </w:rPr>
                <w:t>funmi.akinlade@nhs.net</w:t>
              </w:r>
            </w:hyperlink>
            <w:r w:rsidR="00523DA2">
              <w:t xml:space="preserve"> </w:t>
            </w:r>
          </w:p>
        </w:tc>
      </w:tr>
      <w:tr w:rsidR="00D5585D">
        <w:tc>
          <w:tcPr>
            <w:tcW w:w="9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5585D" w:rsidRDefault="009358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Aims of the Audit:</w:t>
            </w:r>
            <w:r w:rsidR="003572C4">
              <w:rPr>
                <w:b/>
                <w:bCs/>
              </w:rPr>
              <w:t xml:space="preserve"> </w:t>
            </w:r>
            <w:r w:rsidR="003572C4">
              <w:rPr>
                <w:bCs/>
              </w:rPr>
              <w:t>T</w:t>
            </w:r>
            <w:r w:rsidR="003572C4" w:rsidRPr="003572C4">
              <w:rPr>
                <w:bCs/>
              </w:rPr>
              <w:t>o review the use of testosterone</w:t>
            </w:r>
            <w:r w:rsidR="003572C4">
              <w:rPr>
                <w:bCs/>
              </w:rPr>
              <w:t xml:space="preserve"> assays across the region including the use of immunoassay and mass spectrometry assays. </w:t>
            </w:r>
            <w:r w:rsidR="003572C4" w:rsidRPr="003572C4">
              <w:rPr>
                <w:bCs/>
              </w:rPr>
              <w:t>To identify any areas for improvement and/or harmonisation.</w:t>
            </w:r>
          </w:p>
          <w:p w:rsidR="00916B26" w:rsidRDefault="00916B26" w:rsidP="008F1273">
            <w:pPr>
              <w:spacing w:after="0"/>
            </w:pPr>
          </w:p>
        </w:tc>
      </w:tr>
      <w:tr w:rsidR="00D5585D">
        <w:tc>
          <w:tcPr>
            <w:tcW w:w="9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5585D" w:rsidRDefault="009358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Audit Method and Outcome(s):</w:t>
            </w:r>
          </w:p>
          <w:p w:rsidR="003572C4" w:rsidRDefault="003572C4">
            <w:pPr>
              <w:spacing w:after="0"/>
            </w:pPr>
            <w:r w:rsidRPr="003572C4">
              <w:t xml:space="preserve">An audit questionnaire was devised by the auditor and ratified by the committee of the Thames Audit Group (TAG). </w:t>
            </w:r>
            <w:r>
              <w:t>The questionnaire was distributed to members of the Southern region and a</w:t>
            </w:r>
            <w:r w:rsidRPr="003572C4">
              <w:t xml:space="preserve"> total of 1</w:t>
            </w:r>
            <w:r>
              <w:t>5</w:t>
            </w:r>
            <w:r w:rsidRPr="003572C4">
              <w:t xml:space="preserve"> responses were received.</w:t>
            </w:r>
            <w:r>
              <w:t xml:space="preserve"> 2 thirds of responses were from </w:t>
            </w:r>
            <w:r w:rsidR="00827DB6">
              <w:t xml:space="preserve">laboratories in </w:t>
            </w:r>
            <w:r>
              <w:t xml:space="preserve">district general hospitals. </w:t>
            </w:r>
          </w:p>
          <w:p w:rsidR="00827DB6" w:rsidRDefault="00827DB6">
            <w:pPr>
              <w:spacing w:after="0"/>
            </w:pPr>
          </w:p>
          <w:p w:rsidR="003572C4" w:rsidRDefault="003572C4">
            <w:pPr>
              <w:spacing w:after="0"/>
            </w:pPr>
            <w:r>
              <w:t>93% of laboratories measu</w:t>
            </w:r>
            <w:r w:rsidR="00827DB6">
              <w:t>red testosterone by immunoassay</w:t>
            </w:r>
            <w:r>
              <w:t>, with 1 laboratory using mass spectrometry</w:t>
            </w:r>
            <w:r w:rsidR="00827DB6">
              <w:t xml:space="preserve"> only</w:t>
            </w:r>
            <w:r>
              <w:t xml:space="preserve"> for all female testosterone tests</w:t>
            </w:r>
            <w:r w:rsidR="00827DB6">
              <w:t xml:space="preserve"> and 1 laboratory using both immunoassay and mass spectrometry</w:t>
            </w:r>
            <w:r>
              <w:t>. 40% of respondents used Roche immunoassay and 20% Abbott</w:t>
            </w:r>
            <w:r w:rsidR="00827DB6">
              <w:t xml:space="preserve"> for the measurement of testosterone</w:t>
            </w:r>
            <w:r>
              <w:t xml:space="preserve">. </w:t>
            </w:r>
          </w:p>
          <w:p w:rsidR="00827DB6" w:rsidRDefault="00827DB6">
            <w:pPr>
              <w:spacing w:after="0"/>
            </w:pPr>
          </w:p>
          <w:p w:rsidR="003572C4" w:rsidRDefault="003E222F">
            <w:pPr>
              <w:spacing w:after="0"/>
            </w:pPr>
            <w:r>
              <w:t xml:space="preserve">Although 60% of laboratories stated that </w:t>
            </w:r>
            <w:r w:rsidR="00827DB6">
              <w:t>the</w:t>
            </w:r>
            <w:r>
              <w:t xml:space="preserve"> ma</w:t>
            </w:r>
            <w:r w:rsidR="00827DB6">
              <w:t xml:space="preserve">nufacturer was the source of their testosterone reference interval, </w:t>
            </w:r>
            <w:r>
              <w:t xml:space="preserve">reference intervals varied between </w:t>
            </w:r>
            <w:r w:rsidR="00A65724">
              <w:t>laboratories</w:t>
            </w:r>
            <w:r>
              <w:t xml:space="preserve">, even amongst those using the same method. 53% of laboratories provide paediatric reference intervals for testosterone. </w:t>
            </w:r>
            <w:r w:rsidR="00A65724">
              <w:t>Reference intervals for androstenedione, DHEAS and SHBG also varied between laboratories using the same method.</w:t>
            </w:r>
          </w:p>
          <w:p w:rsidR="00827DB6" w:rsidRDefault="00827DB6">
            <w:pPr>
              <w:spacing w:after="0"/>
            </w:pPr>
          </w:p>
          <w:p w:rsidR="003E222F" w:rsidRDefault="00827DB6">
            <w:pPr>
              <w:spacing w:after="0"/>
            </w:pPr>
            <w:r>
              <w:t xml:space="preserve">93% of laboratories provided imprecision data at testosterone concentrations &lt; 2.0 </w:t>
            </w:r>
            <w:proofErr w:type="spellStart"/>
            <w:r w:rsidR="000F1777">
              <w:t>n</w:t>
            </w:r>
            <w:r>
              <w:t>mol</w:t>
            </w:r>
            <w:proofErr w:type="spellEnd"/>
            <w:r>
              <w:t>/L, the majority of laboratories</w:t>
            </w:r>
            <w:r w:rsidR="003E222F">
              <w:t xml:space="preserve"> provided data from internal QC, </w:t>
            </w:r>
            <w:r>
              <w:t>for 20% of</w:t>
            </w:r>
            <w:r w:rsidR="003E222F">
              <w:t xml:space="preserve"> laboratories </w:t>
            </w:r>
            <w:r>
              <w:t xml:space="preserve">the source of this data was </w:t>
            </w:r>
            <w:r w:rsidR="003E222F">
              <w:t>the kit insert.</w:t>
            </w:r>
          </w:p>
          <w:p w:rsidR="00827DB6" w:rsidRDefault="00827DB6">
            <w:pPr>
              <w:spacing w:after="0"/>
            </w:pPr>
          </w:p>
          <w:p w:rsidR="00D07DCE" w:rsidRDefault="00D07DCE">
            <w:pPr>
              <w:spacing w:after="0"/>
            </w:pPr>
            <w:r>
              <w:t>20</w:t>
            </w:r>
            <w:r w:rsidR="003E222F">
              <w:t xml:space="preserve">% of laboratories automatically </w:t>
            </w:r>
            <w:r>
              <w:t xml:space="preserve">provide a </w:t>
            </w:r>
            <w:r w:rsidR="00827DB6">
              <w:t>free androgen index (</w:t>
            </w:r>
            <w:r>
              <w:t>FAI</w:t>
            </w:r>
            <w:r w:rsidR="00827DB6">
              <w:t>)</w:t>
            </w:r>
            <w:r>
              <w:t xml:space="preserve"> on all female testosterone requests.</w:t>
            </w:r>
          </w:p>
          <w:p w:rsidR="00827DB6" w:rsidRDefault="00827DB6">
            <w:pPr>
              <w:spacing w:after="0"/>
            </w:pPr>
          </w:p>
          <w:p w:rsidR="0006797A" w:rsidRDefault="00D07DCE">
            <w:pPr>
              <w:spacing w:after="0"/>
            </w:pPr>
            <w:r>
              <w:t xml:space="preserve">20% of respondents indicated that they do not offer testosterone </w:t>
            </w:r>
            <w:r w:rsidR="00A65724">
              <w:t xml:space="preserve">confirmation </w:t>
            </w:r>
            <w:r>
              <w:t>by mass spectrometry.</w:t>
            </w:r>
            <w:r w:rsidR="00A65724">
              <w:t xml:space="preserve"> For those that do confirm female testosterone results by mass spectrometry t</w:t>
            </w:r>
            <w:r w:rsidR="00CC5780">
              <w:t xml:space="preserve">he criteria for reflexing </w:t>
            </w:r>
            <w:r w:rsidR="00A65724">
              <w:t>this</w:t>
            </w:r>
            <w:r w:rsidR="00CC5780">
              <w:t xml:space="preserve"> </w:t>
            </w:r>
            <w:r w:rsidR="00A65724">
              <w:t>test varied by testosterone concentrations</w:t>
            </w:r>
            <w:r w:rsidR="0006797A">
              <w:t>:</w:t>
            </w:r>
          </w:p>
          <w:p w:rsidR="0006797A" w:rsidRDefault="00F764C6" w:rsidP="0006797A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A</w:t>
            </w:r>
            <w:r w:rsidR="00A65724">
              <w:t>ll a</w:t>
            </w:r>
            <w:r>
              <w:t>bove</w:t>
            </w:r>
            <w:r w:rsidR="00A65724">
              <w:t xml:space="preserve"> the reference interval (1 lab</w:t>
            </w:r>
            <w:r w:rsidR="00CC5780">
              <w:t>),</w:t>
            </w:r>
            <w:r w:rsidR="007C39F6">
              <w:t xml:space="preserve"> </w:t>
            </w:r>
          </w:p>
          <w:p w:rsidR="0006797A" w:rsidRDefault="00F764C6" w:rsidP="0006797A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Greater than </w:t>
            </w:r>
            <w:r w:rsidR="007C39F6">
              <w:t>3</w:t>
            </w:r>
            <w:r w:rsidR="00A65724">
              <w:t xml:space="preserve"> </w:t>
            </w:r>
            <w:proofErr w:type="spellStart"/>
            <w:r w:rsidR="000F1777">
              <w:t>n</w:t>
            </w:r>
            <w:r w:rsidR="007C39F6">
              <w:t>mol</w:t>
            </w:r>
            <w:proofErr w:type="spellEnd"/>
            <w:r w:rsidR="007C39F6">
              <w:t>/L</w:t>
            </w:r>
            <w:r w:rsidR="0006797A">
              <w:t xml:space="preserve"> </w:t>
            </w:r>
            <w:r w:rsidR="00A65724">
              <w:t>(2 labs</w:t>
            </w:r>
            <w:r w:rsidR="0006797A">
              <w:t>)</w:t>
            </w:r>
            <w:r w:rsidR="007C39F6">
              <w:t xml:space="preserve">, </w:t>
            </w:r>
          </w:p>
          <w:p w:rsidR="0006797A" w:rsidRDefault="00F764C6" w:rsidP="0006797A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Greater than </w:t>
            </w:r>
            <w:r w:rsidR="00A65724">
              <w:t>3.5</w:t>
            </w:r>
            <w:r w:rsidR="000F1777">
              <w:t xml:space="preserve"> </w:t>
            </w:r>
            <w:proofErr w:type="spellStart"/>
            <w:r w:rsidR="000F1777">
              <w:t>n</w:t>
            </w:r>
            <w:r w:rsidR="00A65724">
              <w:t>mol</w:t>
            </w:r>
            <w:proofErr w:type="spellEnd"/>
            <w:r w:rsidR="00A65724">
              <w:t>/L (4 labs</w:t>
            </w:r>
            <w:r w:rsidR="007C39F6">
              <w:t xml:space="preserve">), </w:t>
            </w:r>
          </w:p>
          <w:p w:rsidR="0006797A" w:rsidRDefault="00F764C6" w:rsidP="0006797A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Greater than </w:t>
            </w:r>
            <w:r w:rsidR="000F1777">
              <w:t xml:space="preserve">4 </w:t>
            </w:r>
            <w:proofErr w:type="spellStart"/>
            <w:r w:rsidR="000F1777">
              <w:t>n</w:t>
            </w:r>
            <w:r w:rsidR="00A65724">
              <w:t>mol</w:t>
            </w:r>
            <w:proofErr w:type="spellEnd"/>
            <w:r w:rsidR="00A65724">
              <w:t>/L (3 labs</w:t>
            </w:r>
            <w:r w:rsidR="00CC5780">
              <w:t xml:space="preserve">) or </w:t>
            </w:r>
          </w:p>
          <w:p w:rsidR="00CC5780" w:rsidRDefault="00F764C6" w:rsidP="0006797A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At</w:t>
            </w:r>
            <w:r w:rsidR="00CC5780">
              <w:t xml:space="preserve"> the discre</w:t>
            </w:r>
            <w:r w:rsidR="00A65724">
              <w:t>tion of the duty Biochemist (3 labs</w:t>
            </w:r>
            <w:r w:rsidR="00CC5780">
              <w:t>).</w:t>
            </w:r>
          </w:p>
          <w:p w:rsidR="007C39F6" w:rsidRDefault="00523DA2">
            <w:pPr>
              <w:spacing w:after="0"/>
            </w:pPr>
            <w:r>
              <w:lastRenderedPageBreak/>
              <w:t xml:space="preserve">7 laboratories </w:t>
            </w:r>
            <w:r w:rsidR="00A65724">
              <w:t>report</w:t>
            </w:r>
            <w:r>
              <w:t xml:space="preserve"> a free testosterone result, 3 labs used the free androgen index, </w:t>
            </w:r>
            <w:proofErr w:type="gramStart"/>
            <w:r>
              <w:t>3</w:t>
            </w:r>
            <w:proofErr w:type="gramEnd"/>
            <w:r>
              <w:t xml:space="preserve"> labs report using the </w:t>
            </w:r>
            <w:proofErr w:type="spellStart"/>
            <w:r>
              <w:t>Vermeulen</w:t>
            </w:r>
            <w:proofErr w:type="spellEnd"/>
            <w:r>
              <w:t xml:space="preserve"> equation and 1 lab used the </w:t>
            </w:r>
            <w:proofErr w:type="spellStart"/>
            <w:r w:rsidRPr="00523DA2">
              <w:t>Nanjee</w:t>
            </w:r>
            <w:proofErr w:type="spellEnd"/>
            <w:r w:rsidRPr="00523DA2">
              <w:t xml:space="preserve"> and Wheeler</w:t>
            </w:r>
            <w:r>
              <w:t xml:space="preserve"> equation. </w:t>
            </w:r>
          </w:p>
          <w:p w:rsidR="00523DA2" w:rsidRDefault="00523DA2" w:rsidP="00A65724">
            <w:pPr>
              <w:spacing w:after="0"/>
            </w:pPr>
          </w:p>
        </w:tc>
      </w:tr>
      <w:tr w:rsidR="00D5585D">
        <w:tc>
          <w:tcPr>
            <w:tcW w:w="9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5585D" w:rsidRDefault="009358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Audit Recommendations / Standards:</w:t>
            </w:r>
          </w:p>
          <w:p w:rsidR="00A50B63" w:rsidRDefault="00A50B63" w:rsidP="00A50B63">
            <w:pPr>
              <w:widowControl w:val="0"/>
              <w:numPr>
                <w:ilvl w:val="0"/>
                <w:numId w:val="1"/>
              </w:numPr>
              <w:spacing w:after="0"/>
            </w:pPr>
            <w:r>
              <w:t xml:space="preserve">Reference intervals for testosterone should be based on those quoted by the </w:t>
            </w:r>
            <w:proofErr w:type="gramStart"/>
            <w:r>
              <w:t>manufacturer’s</w:t>
            </w:r>
            <w:proofErr w:type="gramEnd"/>
            <w:r>
              <w:t xml:space="preserve"> or should be locally derived by the laboratory.</w:t>
            </w:r>
          </w:p>
          <w:p w:rsidR="00A50B63" w:rsidRDefault="00A50B63" w:rsidP="00A50B63">
            <w:pPr>
              <w:widowControl w:val="0"/>
              <w:numPr>
                <w:ilvl w:val="0"/>
                <w:numId w:val="1"/>
              </w:numPr>
              <w:spacing w:after="0"/>
            </w:pPr>
            <w:r>
              <w:t>Internal Quality Control should assess the performance of your laboratory testosterone assay at the low concentrations expected in females.</w:t>
            </w:r>
          </w:p>
          <w:p w:rsidR="00A50B63" w:rsidRDefault="00A50B63" w:rsidP="00A50B63">
            <w:pPr>
              <w:widowControl w:val="0"/>
              <w:numPr>
                <w:ilvl w:val="0"/>
                <w:numId w:val="1"/>
              </w:numPr>
              <w:spacing w:after="0"/>
            </w:pPr>
            <w:r>
              <w:t>Testosterone confirmation by Mass Spectrometry (MS) for reliable measurement of testosterone should be part of the laboratory repertoire (may be sent to a referral laboratory). (Endocrine Society Hirsutism guidelines 2018)</w:t>
            </w:r>
          </w:p>
          <w:p w:rsidR="00A50B63" w:rsidRDefault="00A50B63" w:rsidP="00A50B63">
            <w:pPr>
              <w:widowControl w:val="0"/>
              <w:numPr>
                <w:ilvl w:val="0"/>
                <w:numId w:val="1"/>
              </w:numPr>
              <w:spacing w:after="0"/>
            </w:pPr>
            <w:r>
              <w:t xml:space="preserve">Testosterone results above the immunoassay reference interval should be </w:t>
            </w:r>
            <w:proofErr w:type="gramStart"/>
            <w:r>
              <w:t>confirmed  by</w:t>
            </w:r>
            <w:proofErr w:type="gramEnd"/>
            <w:r>
              <w:t xml:space="preserve"> mass spectrometry.</w:t>
            </w:r>
          </w:p>
          <w:p w:rsidR="00A50B63" w:rsidRDefault="00A50B63" w:rsidP="00A50B63">
            <w:pPr>
              <w:widowControl w:val="0"/>
              <w:numPr>
                <w:ilvl w:val="0"/>
                <w:numId w:val="1"/>
              </w:numPr>
              <w:spacing w:after="0"/>
            </w:pPr>
            <w:r>
              <w:t xml:space="preserve">Reference intervals for androstenedione and SHBG should be based on those quoted by the manufacturer’s or should be locally derived by the laboratory. </w:t>
            </w:r>
          </w:p>
          <w:p w:rsidR="00A50B63" w:rsidRDefault="00A50B63" w:rsidP="00A50B63">
            <w:pPr>
              <w:widowControl w:val="0"/>
              <w:numPr>
                <w:ilvl w:val="0"/>
                <w:numId w:val="1"/>
              </w:numPr>
              <w:spacing w:after="0"/>
            </w:pPr>
            <w:r>
              <w:t>Clinical symptoms should guide the measurement of 17OHP and not testosterone concentrations (Endocrine Society Hirsutism guidelines 2018).</w:t>
            </w:r>
          </w:p>
          <w:p w:rsidR="00A50B63" w:rsidRDefault="00A50B63" w:rsidP="00A50B63">
            <w:pPr>
              <w:widowControl w:val="0"/>
              <w:numPr>
                <w:ilvl w:val="0"/>
                <w:numId w:val="1"/>
              </w:numPr>
              <w:spacing w:after="0"/>
            </w:pPr>
            <w:r>
              <w:t xml:space="preserve">Confirm low testosterone results in males on a repeat in </w:t>
            </w:r>
            <w:proofErr w:type="gramStart"/>
            <w:r>
              <w:t>the  morning</w:t>
            </w:r>
            <w:proofErr w:type="gramEnd"/>
            <w:r>
              <w:t xml:space="preserve"> peak (on a fasting sample) (Endocrine Society Hypogonadism guidelines 2018/BSSM guidelines on Adult testosterone deficiency 2017).</w:t>
            </w:r>
          </w:p>
          <w:p w:rsidR="00916B26" w:rsidRDefault="00A50B63" w:rsidP="00A50B63">
            <w:pPr>
              <w:widowControl w:val="0"/>
              <w:numPr>
                <w:ilvl w:val="0"/>
                <w:numId w:val="1"/>
              </w:numPr>
              <w:spacing w:after="0"/>
            </w:pPr>
            <w:r>
              <w:t>Laboratories should be aware of the interference profile of their testosterone assay and should review this when there is a change or reformulation of the assay.</w:t>
            </w:r>
          </w:p>
        </w:tc>
      </w:tr>
      <w:tr w:rsidR="00D5585D">
        <w:tc>
          <w:tcPr>
            <w:tcW w:w="9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5585D" w:rsidRDefault="009358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Please indicate to whom and when audit presented  &amp;/or circulated&amp;/or published:</w:t>
            </w:r>
          </w:p>
          <w:p w:rsidR="00D5585D" w:rsidRDefault="00935844">
            <w:pPr>
              <w:spacing w:after="0"/>
            </w:pPr>
            <w:r>
              <w:t xml:space="preserve">Audit presented at the Thames Audit meeting on </w:t>
            </w:r>
            <w:r w:rsidR="00554F42">
              <w:t>14</w:t>
            </w:r>
            <w:r w:rsidR="00554F42" w:rsidRPr="00554F42">
              <w:rPr>
                <w:vertAlign w:val="superscript"/>
              </w:rPr>
              <w:t>th</w:t>
            </w:r>
            <w:r w:rsidR="00554F42">
              <w:t xml:space="preserve"> May 2019</w:t>
            </w:r>
            <w:r>
              <w:t>.</w:t>
            </w:r>
          </w:p>
          <w:p w:rsidR="00D5585D" w:rsidRDefault="00D5585D">
            <w:pPr>
              <w:spacing w:after="0"/>
            </w:pPr>
          </w:p>
          <w:p w:rsidR="00D5585D" w:rsidRDefault="00D5585D">
            <w:pPr>
              <w:spacing w:after="0"/>
            </w:pPr>
          </w:p>
        </w:tc>
      </w:tr>
      <w:tr w:rsidR="00D5585D">
        <w:tc>
          <w:tcPr>
            <w:tcW w:w="9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5585D" w:rsidRDefault="009358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Audit recommendations / standards ratified by … and when:</w:t>
            </w:r>
          </w:p>
          <w:p w:rsidR="00D5585D" w:rsidRDefault="00935844">
            <w:pPr>
              <w:spacing w:after="0"/>
            </w:pPr>
            <w:r>
              <w:t xml:space="preserve">Thames Audit </w:t>
            </w:r>
            <w:r w:rsidR="00554F42">
              <w:t>Group</w:t>
            </w:r>
            <w:r w:rsidR="00D632C2">
              <w:t xml:space="preserve"> </w:t>
            </w:r>
            <w:r w:rsidR="00554F42">
              <w:t xml:space="preserve">May </w:t>
            </w:r>
            <w:r w:rsidR="008F1273">
              <w:t>2019</w:t>
            </w:r>
          </w:p>
          <w:p w:rsidR="00D5585D" w:rsidRDefault="00D5585D">
            <w:pPr>
              <w:spacing w:after="0"/>
            </w:pPr>
          </w:p>
          <w:p w:rsidR="00D5585D" w:rsidRDefault="00D5585D">
            <w:pPr>
              <w:spacing w:after="0"/>
            </w:pPr>
          </w:p>
        </w:tc>
      </w:tr>
      <w:tr w:rsidR="00D5585D">
        <w:tc>
          <w:tcPr>
            <w:tcW w:w="9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5585D" w:rsidRDefault="00935844">
            <w:pPr>
              <w:spacing w:after="0"/>
            </w:pPr>
            <w:r>
              <w:rPr>
                <w:b/>
                <w:bCs/>
              </w:rPr>
              <w:t xml:space="preserve">Date of audit report: </w:t>
            </w:r>
            <w:r w:rsidR="00A50B63">
              <w:rPr>
                <w:b/>
                <w:bCs/>
              </w:rPr>
              <w:t>May 2019</w:t>
            </w:r>
          </w:p>
          <w:p w:rsidR="00D5585D" w:rsidRDefault="00D5585D">
            <w:pPr>
              <w:spacing w:after="0"/>
            </w:pPr>
          </w:p>
        </w:tc>
      </w:tr>
      <w:tr w:rsidR="00D5585D">
        <w:tc>
          <w:tcPr>
            <w:tcW w:w="9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5585D" w:rsidRDefault="009358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Audit documents for upload to http://www.acb.org.uk/whatwedo/science/audit.aspx</w:t>
            </w:r>
          </w:p>
          <w:p w:rsidR="00D5585D" w:rsidRDefault="0093584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Please include as attachments with this Audit Summary form if authors and the organising committee would like information to be publicly accessible on the ACB website Audit section.</w:t>
            </w:r>
          </w:p>
          <w:p w:rsidR="00D5585D" w:rsidRPr="008F7368" w:rsidRDefault="00D5585D">
            <w:pPr>
              <w:spacing w:after="0"/>
              <w:rPr>
                <w:iCs/>
              </w:rPr>
            </w:pPr>
          </w:p>
          <w:p w:rsidR="00D632C2" w:rsidRPr="00DD5420" w:rsidRDefault="00221CDF">
            <w:pPr>
              <w:spacing w:after="0"/>
              <w:rPr>
                <w:iCs/>
              </w:rPr>
            </w:pPr>
            <w:r>
              <w:rPr>
                <w:iCs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4pt;height:49.45pt" o:ole="">
                  <v:imagedata r:id="rId9" o:title=""/>
                </v:shape>
                <o:OLEObject Type="Embed" ProgID="AcroExch.Document.11" ShapeID="_x0000_i1025" DrawAspect="Icon" ObjectID="_1627542175" r:id="rId10"/>
              </w:object>
            </w:r>
            <w:r w:rsidR="00C57A41">
              <w:rPr>
                <w:iCs/>
              </w:rPr>
              <w:object w:dxaOrig="1531" w:dyaOrig="990">
                <v:shape id="_x0000_i1026" type="#_x0000_t75" style="width:76.4pt;height:49.45pt" o:ole="">
                  <v:imagedata r:id="rId11" o:title=""/>
                </v:shape>
                <o:OLEObject Type="Embed" ProgID="AcroExch.Document.11" ShapeID="_x0000_i1026" DrawAspect="Icon" ObjectID="_1627542176" r:id="rId12"/>
              </w:object>
            </w:r>
            <w:r w:rsidR="00F12CCA">
              <w:rPr>
                <w:iCs/>
              </w:rPr>
              <w:object w:dxaOrig="1531" w:dyaOrig="990">
                <v:shape id="_x0000_i1027" type="#_x0000_t75" style="width:76.4pt;height:49.45pt" o:ole="">
                  <v:imagedata r:id="rId13" o:title=""/>
                </v:shape>
                <o:OLEObject Type="Embed" ProgID="AcroExch.Document.11" ShapeID="_x0000_i1027" DrawAspect="Icon" ObjectID="_1627542177" r:id="rId14"/>
              </w:object>
            </w:r>
          </w:p>
          <w:p w:rsidR="00D5585D" w:rsidRDefault="00935844">
            <w:pPr>
              <w:spacing w:after="0"/>
              <w:rPr>
                <w:b/>
                <w:bCs/>
              </w:rPr>
            </w:pPr>
            <w:r>
              <w:t>Presentation</w:t>
            </w:r>
          </w:p>
          <w:p w:rsidR="00D5585D" w:rsidRDefault="00935844">
            <w:pPr>
              <w:spacing w:after="0"/>
              <w:rPr>
                <w:b/>
                <w:bCs/>
              </w:rPr>
            </w:pPr>
            <w:r>
              <w:t>Standards/Recommendations</w:t>
            </w:r>
          </w:p>
          <w:p w:rsidR="00D5585D" w:rsidRDefault="00935844">
            <w:pPr>
              <w:spacing w:after="0"/>
              <w:rPr>
                <w:b/>
                <w:bCs/>
              </w:rPr>
            </w:pPr>
            <w:proofErr w:type="spellStart"/>
            <w:r>
              <w:t>BlankSurvey</w:t>
            </w:r>
            <w:proofErr w:type="spellEnd"/>
            <w:r>
              <w:t xml:space="preserve"> Questionnaire</w:t>
            </w:r>
          </w:p>
          <w:p w:rsidR="00D5585D" w:rsidRDefault="00D5585D">
            <w:pPr>
              <w:spacing w:after="0"/>
              <w:rPr>
                <w:b/>
                <w:bCs/>
              </w:rPr>
            </w:pPr>
          </w:p>
          <w:p w:rsidR="008F1273" w:rsidRDefault="008F1273">
            <w:pPr>
              <w:spacing w:after="0"/>
              <w:rPr>
                <w:b/>
                <w:bCs/>
              </w:rPr>
            </w:pPr>
          </w:p>
        </w:tc>
      </w:tr>
    </w:tbl>
    <w:p w:rsidR="00D5585D" w:rsidRDefault="00D5585D"/>
    <w:sectPr w:rsidR="00D5585D">
      <w:pgSz w:w="11906" w:h="16838"/>
      <w:pgMar w:top="1276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B171A2"/>
    <w:multiLevelType w:val="hybridMultilevel"/>
    <w:tmpl w:val="D5A49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5D"/>
    <w:rsid w:val="0006797A"/>
    <w:rsid w:val="000F1777"/>
    <w:rsid w:val="00221CDF"/>
    <w:rsid w:val="002726BE"/>
    <w:rsid w:val="002A5586"/>
    <w:rsid w:val="003572C4"/>
    <w:rsid w:val="003E222F"/>
    <w:rsid w:val="004A33B3"/>
    <w:rsid w:val="00514382"/>
    <w:rsid w:val="00521F97"/>
    <w:rsid w:val="00523DA2"/>
    <w:rsid w:val="00554F42"/>
    <w:rsid w:val="005926A2"/>
    <w:rsid w:val="007C1F54"/>
    <w:rsid w:val="007C39F6"/>
    <w:rsid w:val="00827DB6"/>
    <w:rsid w:val="008F1273"/>
    <w:rsid w:val="008F7368"/>
    <w:rsid w:val="00916B26"/>
    <w:rsid w:val="00935844"/>
    <w:rsid w:val="00A50B63"/>
    <w:rsid w:val="00A55CFC"/>
    <w:rsid w:val="00A65724"/>
    <w:rsid w:val="00C54C9A"/>
    <w:rsid w:val="00C57A41"/>
    <w:rsid w:val="00CC5780"/>
    <w:rsid w:val="00D07DCE"/>
    <w:rsid w:val="00D32C53"/>
    <w:rsid w:val="00D5585D"/>
    <w:rsid w:val="00D632C2"/>
    <w:rsid w:val="00DD5420"/>
    <w:rsid w:val="00F12CCA"/>
    <w:rsid w:val="00F7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A6"/>
    <w:pPr>
      <w:suppressAutoHyphens/>
      <w:spacing w:after="200"/>
    </w:pPr>
    <w:rPr>
      <w:rFonts w:cs="Calibri"/>
      <w:color w:val="00000A"/>
      <w:sz w:val="22"/>
      <w:lang w:val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BC7A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850987"/>
    <w:rPr>
      <w:rFonts w:ascii="Times New Roman" w:hAnsi="Times New Roman"/>
      <w:sz w:val="0"/>
      <w:szCs w:val="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E91F94"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E91F94"/>
    <w:rPr>
      <w:sz w:val="22"/>
      <w:szCs w:val="22"/>
      <w:lang w:eastAsia="en-U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BC7ADD"/>
    <w:pPr>
      <w:spacing w:after="0"/>
    </w:pPr>
    <w:rPr>
      <w:rFonts w:ascii="Tahoma" w:hAnsi="Tahoma" w:cs="Tahoma"/>
      <w:sz w:val="16"/>
      <w:szCs w:val="16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qFormat/>
    <w:rsid w:val="000A41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1F94"/>
    <w:pPr>
      <w:tabs>
        <w:tab w:val="center" w:pos="4513"/>
        <w:tab w:val="right" w:pos="9026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rsid w:val="00E91F94"/>
    <w:pPr>
      <w:tabs>
        <w:tab w:val="center" w:pos="4513"/>
        <w:tab w:val="right" w:pos="9026"/>
      </w:tabs>
    </w:pPr>
    <w:rPr>
      <w:lang w:val="en-US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table" w:styleId="TableGrid">
    <w:name w:val="Table Grid"/>
    <w:basedOn w:val="TableNormal"/>
    <w:uiPriority w:val="99"/>
    <w:rsid w:val="0010188E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A6"/>
    <w:pPr>
      <w:suppressAutoHyphens/>
      <w:spacing w:after="200"/>
    </w:pPr>
    <w:rPr>
      <w:rFonts w:cs="Calibri"/>
      <w:color w:val="00000A"/>
      <w:sz w:val="22"/>
      <w:lang w:val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BC7A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850987"/>
    <w:rPr>
      <w:rFonts w:ascii="Times New Roman" w:hAnsi="Times New Roman"/>
      <w:sz w:val="0"/>
      <w:szCs w:val="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E91F94"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E91F94"/>
    <w:rPr>
      <w:sz w:val="22"/>
      <w:szCs w:val="22"/>
      <w:lang w:eastAsia="en-U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BC7ADD"/>
    <w:pPr>
      <w:spacing w:after="0"/>
    </w:pPr>
    <w:rPr>
      <w:rFonts w:ascii="Tahoma" w:hAnsi="Tahoma" w:cs="Tahoma"/>
      <w:sz w:val="16"/>
      <w:szCs w:val="16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qFormat/>
    <w:rsid w:val="000A41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1F94"/>
    <w:pPr>
      <w:tabs>
        <w:tab w:val="center" w:pos="4513"/>
        <w:tab w:val="right" w:pos="9026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rsid w:val="00E91F94"/>
    <w:pPr>
      <w:tabs>
        <w:tab w:val="center" w:pos="4513"/>
        <w:tab w:val="right" w:pos="9026"/>
      </w:tabs>
    </w:pPr>
    <w:rPr>
      <w:lang w:val="en-US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table" w:styleId="TableGrid">
    <w:name w:val="Table Grid"/>
    <w:basedOn w:val="TableNormal"/>
    <w:uiPriority w:val="99"/>
    <w:rsid w:val="0010188E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mi.akinlade@nhs.net" TargetMode="External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</vt:lpstr>
    </vt:vector>
  </TitlesOfParts>
  <Company>BCH NHS Trust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</dc:title>
  <dc:creator>M.Bignell</dc:creator>
  <cp:lastModifiedBy>Vaclav Stemberk</cp:lastModifiedBy>
  <cp:revision>2</cp:revision>
  <cp:lastPrinted>2014-09-17T17:37:00Z</cp:lastPrinted>
  <dcterms:created xsi:type="dcterms:W3CDTF">2019-08-17T09:17:00Z</dcterms:created>
  <dcterms:modified xsi:type="dcterms:W3CDTF">2019-08-17T09:17:00Z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BCH NHS Trust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