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C0" w:rsidRDefault="00287D58" w:rsidP="00067E3B">
      <w:pPr>
        <w:spacing w:after="0"/>
        <w:outlineLvl w:val="0"/>
        <w:rPr>
          <w:b/>
          <w:bCs/>
          <w:sz w:val="36"/>
          <w:szCs w:val="36"/>
        </w:rPr>
      </w:pPr>
      <w:bookmarkStart w:id="0" w:name="_GoBack"/>
      <w:bookmarkEnd w:id="0"/>
      <w:r>
        <w:rPr>
          <w:noProof/>
          <w:lang w:eastAsia="en-GB"/>
        </w:rPr>
        <w:drawing>
          <wp:anchor distT="0" distB="0" distL="114300" distR="114300" simplePos="0" relativeHeight="251658240" behindDoc="0" locked="0" layoutInCell="1" allowOverlap="1">
            <wp:simplePos x="0" y="0"/>
            <wp:positionH relativeFrom="column">
              <wp:posOffset>180975</wp:posOffset>
            </wp:positionH>
            <wp:positionV relativeFrom="paragraph">
              <wp:posOffset>-476885</wp:posOffset>
            </wp:positionV>
            <wp:extent cx="3057525" cy="847725"/>
            <wp:effectExtent l="0" t="0" r="9525" b="9525"/>
            <wp:wrapNone/>
            <wp:docPr id="2" name="Picture 5" descr="RC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CPat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7525" cy="84772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simplePos x="0" y="0"/>
            <wp:positionH relativeFrom="margin">
              <wp:posOffset>-76200</wp:posOffset>
            </wp:positionH>
            <wp:positionV relativeFrom="margin">
              <wp:posOffset>-474345</wp:posOffset>
            </wp:positionV>
            <wp:extent cx="2600325" cy="864870"/>
            <wp:effectExtent l="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0325" cy="864870"/>
                    </a:xfrm>
                    <a:prstGeom prst="rect">
                      <a:avLst/>
                    </a:prstGeom>
                    <a:noFill/>
                  </pic:spPr>
                </pic:pic>
              </a:graphicData>
            </a:graphic>
            <wp14:sizeRelH relativeFrom="page">
              <wp14:pctWidth>0</wp14:pctWidth>
            </wp14:sizeRelH>
            <wp14:sizeRelV relativeFrom="page">
              <wp14:pctHeight>0</wp14:pctHeight>
            </wp14:sizeRelV>
          </wp:anchor>
        </w:drawing>
      </w:r>
    </w:p>
    <w:p w:rsidR="00BA09C0" w:rsidRPr="00067E3B" w:rsidRDefault="00BA09C0" w:rsidP="00067E3B">
      <w:pPr>
        <w:spacing w:after="240"/>
        <w:jc w:val="center"/>
        <w:outlineLvl w:val="0"/>
        <w:rPr>
          <w:b/>
          <w:bCs/>
          <w:sz w:val="16"/>
          <w:szCs w:val="16"/>
        </w:rPr>
      </w:pPr>
    </w:p>
    <w:p w:rsidR="00BA09C0" w:rsidRPr="00BC7ADD" w:rsidRDefault="00BA09C0" w:rsidP="00067E3B">
      <w:pPr>
        <w:spacing w:after="240"/>
        <w:jc w:val="center"/>
        <w:outlineLvl w:val="0"/>
        <w:rPr>
          <w:b/>
          <w:bCs/>
          <w:sz w:val="36"/>
          <w:szCs w:val="36"/>
        </w:rPr>
      </w:pPr>
      <w:r w:rsidRPr="00BC7ADD">
        <w:rPr>
          <w:b/>
          <w:bCs/>
          <w:sz w:val="36"/>
          <w:szCs w:val="36"/>
        </w:rPr>
        <w:t>Audit Templa</w:t>
      </w:r>
      <w:r>
        <w:rPr>
          <w:b/>
          <w:bCs/>
          <w:sz w:val="36"/>
          <w:szCs w:val="36"/>
        </w:rPr>
        <w:t>t</w:t>
      </w:r>
      <w:r w:rsidRPr="00BC7ADD">
        <w:rPr>
          <w:b/>
          <w:bCs/>
          <w:sz w:val="36"/>
          <w:szCs w:val="36"/>
        </w:rPr>
        <w:t>e</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0"/>
        <w:gridCol w:w="4622"/>
      </w:tblGrid>
      <w:tr w:rsidR="00BA09C0" w:rsidRPr="00BC7ADD">
        <w:tc>
          <w:tcPr>
            <w:tcW w:w="9242" w:type="dxa"/>
            <w:gridSpan w:val="2"/>
          </w:tcPr>
          <w:p w:rsidR="00BA09C0" w:rsidRPr="00BC7ADD" w:rsidRDefault="00BA09C0" w:rsidP="00BC7ADD">
            <w:pPr>
              <w:spacing w:after="0"/>
              <w:rPr>
                <w:b/>
                <w:bCs/>
              </w:rPr>
            </w:pPr>
            <w:r w:rsidRPr="00BC7ADD">
              <w:rPr>
                <w:b/>
                <w:bCs/>
              </w:rPr>
              <w:t>Audit Title:</w:t>
            </w:r>
          </w:p>
          <w:p w:rsidR="00BA09C0" w:rsidRPr="00BC7ADD" w:rsidRDefault="00BA09C0" w:rsidP="00BC7ADD">
            <w:pPr>
              <w:spacing w:after="0"/>
            </w:pPr>
            <w:r>
              <w:t>Laboratory Analyses for Poisoned Patients</w:t>
            </w:r>
          </w:p>
          <w:p w:rsidR="00BA09C0" w:rsidRPr="00BC7ADD" w:rsidRDefault="00BA09C0" w:rsidP="00BC7ADD">
            <w:pPr>
              <w:spacing w:after="0"/>
            </w:pPr>
          </w:p>
        </w:tc>
      </w:tr>
      <w:tr w:rsidR="00BA09C0" w:rsidRPr="00BC7ADD">
        <w:tc>
          <w:tcPr>
            <w:tcW w:w="4620" w:type="dxa"/>
          </w:tcPr>
          <w:p w:rsidR="00BA09C0" w:rsidRDefault="00BA09C0" w:rsidP="00BC7ADD">
            <w:pPr>
              <w:spacing w:after="0"/>
              <w:rPr>
                <w:b/>
                <w:bCs/>
              </w:rPr>
            </w:pPr>
            <w:r w:rsidRPr="00BC7ADD">
              <w:rPr>
                <w:b/>
                <w:bCs/>
              </w:rPr>
              <w:t>Lead Auditor:</w:t>
            </w:r>
          </w:p>
          <w:p w:rsidR="00BA09C0" w:rsidRPr="00B413E6" w:rsidRDefault="00BA09C0" w:rsidP="00BC7ADD">
            <w:pPr>
              <w:spacing w:after="0"/>
            </w:pPr>
            <w:r w:rsidRPr="00B413E6">
              <w:t>Heather Stoddart</w:t>
            </w:r>
          </w:p>
        </w:tc>
        <w:tc>
          <w:tcPr>
            <w:tcW w:w="4622" w:type="dxa"/>
          </w:tcPr>
          <w:p w:rsidR="00BA09C0" w:rsidRPr="00BC7ADD" w:rsidRDefault="00BA09C0" w:rsidP="00BC7ADD">
            <w:pPr>
              <w:spacing w:after="0"/>
              <w:rPr>
                <w:b/>
                <w:bCs/>
              </w:rPr>
            </w:pPr>
            <w:r w:rsidRPr="00BC7ADD">
              <w:rPr>
                <w:b/>
                <w:bCs/>
              </w:rPr>
              <w:t>Audit date(s):</w:t>
            </w:r>
          </w:p>
          <w:p w:rsidR="00BA09C0" w:rsidRPr="00B413E6" w:rsidRDefault="00BA09C0" w:rsidP="00BC7ADD">
            <w:pPr>
              <w:spacing w:after="0"/>
            </w:pPr>
            <w:r w:rsidRPr="00B413E6">
              <w:t>23</w:t>
            </w:r>
            <w:r w:rsidRPr="00B413E6">
              <w:rPr>
                <w:vertAlign w:val="superscript"/>
              </w:rPr>
              <w:t>rd</w:t>
            </w:r>
            <w:r w:rsidRPr="00B413E6">
              <w:t xml:space="preserve"> March 2015</w:t>
            </w:r>
          </w:p>
          <w:p w:rsidR="00BA09C0" w:rsidRPr="00BC7ADD" w:rsidRDefault="00BA09C0" w:rsidP="00BC7ADD">
            <w:pPr>
              <w:spacing w:after="0"/>
              <w:rPr>
                <w:sz w:val="18"/>
                <w:szCs w:val="18"/>
              </w:rPr>
            </w:pPr>
          </w:p>
        </w:tc>
      </w:tr>
      <w:tr w:rsidR="00BA09C0" w:rsidRPr="00BC7ADD">
        <w:tc>
          <w:tcPr>
            <w:tcW w:w="4620" w:type="dxa"/>
          </w:tcPr>
          <w:p w:rsidR="00BA09C0" w:rsidRPr="00BC7ADD" w:rsidRDefault="00BA09C0" w:rsidP="00BC7ADD">
            <w:pPr>
              <w:spacing w:after="0"/>
            </w:pPr>
            <w:r w:rsidRPr="00BC7ADD">
              <w:rPr>
                <w:sz w:val="18"/>
                <w:szCs w:val="18"/>
              </w:rPr>
              <w:t xml:space="preserve">Please indicate if   </w:t>
            </w:r>
            <w:r w:rsidRPr="00BC7ADD">
              <w:rPr>
                <w:b/>
                <w:bCs/>
              </w:rPr>
              <w:t>Local / Regional / National Audit</w:t>
            </w:r>
          </w:p>
          <w:p w:rsidR="00BA09C0" w:rsidRPr="00BC7ADD" w:rsidRDefault="00BA09C0" w:rsidP="00BC7ADD">
            <w:pPr>
              <w:spacing w:after="0"/>
              <w:rPr>
                <w:sz w:val="18"/>
                <w:szCs w:val="18"/>
              </w:rPr>
            </w:pPr>
            <w:r w:rsidRPr="00BC7ADD">
              <w:rPr>
                <w:sz w:val="18"/>
                <w:szCs w:val="18"/>
              </w:rPr>
              <w:t>Please indicate which hospital &amp; location or region</w:t>
            </w:r>
          </w:p>
          <w:p w:rsidR="00BA09C0" w:rsidRPr="00BC7ADD" w:rsidRDefault="00BA09C0" w:rsidP="00BC7ADD">
            <w:pPr>
              <w:spacing w:after="0"/>
              <w:rPr>
                <w:b/>
                <w:bCs/>
              </w:rPr>
            </w:pPr>
            <w:r>
              <w:rPr>
                <w:b/>
                <w:bCs/>
              </w:rPr>
              <w:t>Regional:  Thames Audit Group</w:t>
            </w:r>
          </w:p>
          <w:p w:rsidR="00BA09C0" w:rsidRPr="00BC7ADD" w:rsidRDefault="00BA09C0" w:rsidP="00BC7ADD">
            <w:pPr>
              <w:spacing w:after="0"/>
              <w:rPr>
                <w:b/>
                <w:bCs/>
              </w:rPr>
            </w:pPr>
          </w:p>
          <w:p w:rsidR="00BA09C0" w:rsidRPr="00BC7ADD" w:rsidRDefault="00BA09C0" w:rsidP="00BC7ADD">
            <w:pPr>
              <w:spacing w:after="0"/>
              <w:rPr>
                <w:b/>
                <w:bCs/>
              </w:rPr>
            </w:pPr>
          </w:p>
        </w:tc>
        <w:tc>
          <w:tcPr>
            <w:tcW w:w="4622" w:type="dxa"/>
          </w:tcPr>
          <w:p w:rsidR="00BA09C0" w:rsidRPr="00BC7ADD" w:rsidRDefault="00BA09C0" w:rsidP="00BC7ADD">
            <w:pPr>
              <w:spacing w:after="0"/>
              <w:rPr>
                <w:b/>
                <w:bCs/>
              </w:rPr>
            </w:pPr>
            <w:r w:rsidRPr="00BC7ADD">
              <w:rPr>
                <w:b/>
                <w:bCs/>
              </w:rPr>
              <w:t>Report Author:</w:t>
            </w:r>
          </w:p>
          <w:p w:rsidR="00BA09C0" w:rsidRPr="00BC7ADD" w:rsidRDefault="00BA09C0" w:rsidP="00BC7ADD">
            <w:pPr>
              <w:spacing w:after="0"/>
            </w:pPr>
            <w:r w:rsidRPr="00BC7ADD">
              <w:t>Name:</w:t>
            </w:r>
            <w:r>
              <w:t xml:space="preserve">  Heather Stoddart</w:t>
            </w:r>
          </w:p>
          <w:p w:rsidR="00BA09C0" w:rsidRPr="00BC7ADD" w:rsidRDefault="00BA09C0" w:rsidP="00BC7ADD">
            <w:pPr>
              <w:spacing w:after="0"/>
            </w:pPr>
          </w:p>
          <w:p w:rsidR="00BA09C0" w:rsidRPr="00BC7ADD" w:rsidRDefault="00BA09C0" w:rsidP="00BC7ADD">
            <w:pPr>
              <w:spacing w:after="0"/>
            </w:pPr>
            <w:r w:rsidRPr="00BC7ADD">
              <w:t>Email:</w:t>
            </w:r>
            <w:r>
              <w:t xml:space="preserve"> heather.stoddart@fhft.nhs.uk</w:t>
            </w:r>
          </w:p>
        </w:tc>
      </w:tr>
      <w:tr w:rsidR="00BA09C0" w:rsidRPr="00BC7ADD">
        <w:tc>
          <w:tcPr>
            <w:tcW w:w="9242" w:type="dxa"/>
            <w:gridSpan w:val="2"/>
          </w:tcPr>
          <w:p w:rsidR="00BA09C0" w:rsidRPr="00BC7ADD" w:rsidRDefault="00BA09C0" w:rsidP="00BC7ADD">
            <w:pPr>
              <w:spacing w:after="0"/>
              <w:rPr>
                <w:b/>
                <w:bCs/>
              </w:rPr>
            </w:pPr>
            <w:r w:rsidRPr="00BC7ADD">
              <w:rPr>
                <w:b/>
                <w:bCs/>
              </w:rPr>
              <w:t>Aims of the Audit:</w:t>
            </w:r>
          </w:p>
          <w:p w:rsidR="00BA09C0" w:rsidRPr="00BC7ADD" w:rsidRDefault="00BA09C0" w:rsidP="00BC7ADD">
            <w:pPr>
              <w:spacing w:after="0"/>
            </w:pPr>
            <w:r>
              <w:t>To determine adherence to the 2014 document “Guidelines for laboratory analyses for poisoned patients in the United Kingdom” (Ann Clin Biochem 2014 Vol. 51 (3) 312-325).</w:t>
            </w:r>
          </w:p>
          <w:p w:rsidR="00BA09C0" w:rsidRPr="00BC7ADD" w:rsidRDefault="00BA09C0" w:rsidP="00BC7ADD">
            <w:pPr>
              <w:spacing w:after="0"/>
            </w:pPr>
          </w:p>
        </w:tc>
      </w:tr>
      <w:tr w:rsidR="00BA09C0" w:rsidRPr="00BC7ADD">
        <w:tc>
          <w:tcPr>
            <w:tcW w:w="9242" w:type="dxa"/>
            <w:gridSpan w:val="2"/>
          </w:tcPr>
          <w:p w:rsidR="00BA09C0" w:rsidRPr="00BC7ADD" w:rsidRDefault="00BA09C0" w:rsidP="00BC7ADD">
            <w:pPr>
              <w:spacing w:after="0"/>
              <w:rPr>
                <w:b/>
                <w:bCs/>
              </w:rPr>
            </w:pPr>
            <w:r w:rsidRPr="00BC7ADD">
              <w:rPr>
                <w:b/>
                <w:bCs/>
              </w:rPr>
              <w:t>Audit Method and Outcome(s):</w:t>
            </w:r>
          </w:p>
          <w:p w:rsidR="00BA09C0" w:rsidRPr="00BC7ADD" w:rsidRDefault="00BA09C0" w:rsidP="00BC7ADD">
            <w:pPr>
              <w:spacing w:after="0"/>
            </w:pPr>
          </w:p>
          <w:p w:rsidR="00BA09C0" w:rsidRDefault="00BA09C0" w:rsidP="00BC7ADD">
            <w:pPr>
              <w:spacing w:after="0"/>
            </w:pPr>
            <w:r>
              <w:t>An audit questionnaire was devised by the lead auditor and ratified by the Thames Audit Group (TAG) committee.  It was then circulated to all members of the TAG and the responses analysed by the lad auditor.  The findings were presented by the lead auditor at the meeting of the TAG on 23</w:t>
            </w:r>
            <w:r w:rsidRPr="00B413E6">
              <w:rPr>
                <w:vertAlign w:val="superscript"/>
              </w:rPr>
              <w:t>rd</w:t>
            </w:r>
            <w:r>
              <w:t xml:space="preserve"> March 2015.</w:t>
            </w:r>
          </w:p>
          <w:p w:rsidR="00BA09C0" w:rsidRPr="00BC7ADD" w:rsidRDefault="00BA09C0" w:rsidP="00BC7ADD">
            <w:pPr>
              <w:spacing w:after="0"/>
            </w:pPr>
            <w:r>
              <w:t>Recommendations were drafted by the lead auditor, discussed and amended by the TAG committee and then further discussed and amended at the TAG meeting.  The recommendations were ratified by the TAG committee at the meeting on 31</w:t>
            </w:r>
            <w:r w:rsidRPr="00B413E6">
              <w:rPr>
                <w:vertAlign w:val="superscript"/>
              </w:rPr>
              <w:t>st</w:t>
            </w:r>
            <w:r>
              <w:t xml:space="preserve"> July 2015.</w:t>
            </w:r>
          </w:p>
          <w:p w:rsidR="00BA09C0" w:rsidRPr="00BC7ADD" w:rsidRDefault="00BA09C0" w:rsidP="00BC7ADD">
            <w:pPr>
              <w:spacing w:after="0"/>
            </w:pPr>
          </w:p>
        </w:tc>
      </w:tr>
      <w:tr w:rsidR="00BA09C0" w:rsidRPr="00BC7ADD">
        <w:tc>
          <w:tcPr>
            <w:tcW w:w="9242" w:type="dxa"/>
            <w:gridSpan w:val="2"/>
          </w:tcPr>
          <w:p w:rsidR="00BA09C0" w:rsidRPr="00BC7ADD" w:rsidRDefault="00BA09C0" w:rsidP="00BC7ADD">
            <w:pPr>
              <w:spacing w:after="0"/>
              <w:rPr>
                <w:b/>
                <w:bCs/>
              </w:rPr>
            </w:pPr>
            <w:r w:rsidRPr="00BC7ADD">
              <w:rPr>
                <w:b/>
                <w:bCs/>
              </w:rPr>
              <w:t>Audit Recommendations / Standards:</w:t>
            </w:r>
          </w:p>
          <w:p w:rsidR="00BA09C0" w:rsidRDefault="00BA09C0" w:rsidP="00B413E6">
            <w:pPr>
              <w:numPr>
                <w:ilvl w:val="0"/>
                <w:numId w:val="3"/>
              </w:numPr>
              <w:spacing w:after="0"/>
              <w:ind w:left="357" w:hanging="357"/>
            </w:pPr>
            <w:r>
              <w:t>Laboratories should follow the recommendations for availability of laboratory analyses in the 2014 UK Guidelines as far as is practical (Thompson et al, Ann Clin Biochem 2014 51:312)</w:t>
            </w:r>
          </w:p>
          <w:p w:rsidR="00BA09C0" w:rsidRDefault="00BA09C0" w:rsidP="00B413E6">
            <w:pPr>
              <w:numPr>
                <w:ilvl w:val="0"/>
                <w:numId w:val="3"/>
              </w:numPr>
              <w:spacing w:after="0"/>
              <w:ind w:left="357" w:hanging="357"/>
            </w:pPr>
            <w:r>
              <w:t>The following analyses should be available 24/7 in all acute hospitals with a maximum 2 hour turnaround where practical.</w:t>
            </w:r>
            <w:r>
              <w:br/>
              <w:t>If analysis is not available on site, (e.g. in laboratory networks where analysis is provided from one site), arrangements should be in place such that results can be provided within 2h in cases of suspected poisoning.</w:t>
            </w:r>
            <w:r>
              <w:br/>
            </w:r>
            <w:r w:rsidRPr="00B413E6">
              <w:rPr>
                <w:i/>
                <w:iCs/>
                <w:color w:val="808080"/>
              </w:rPr>
              <w:t>FBC, sodium, potassium, urea, creatinine, glucose, calcium, albumin, magnesium, INR, transaminases, bilirubin, anion gap (chloride &amp; bicarbonate), osmolality &amp; osmolar gap, arterial blood gases, creatine kinase, COHb, digoxin, ethanol, iron, lithium, methaemoglobin, paracetamol, salicylate, theophylline, valproate</w:t>
            </w:r>
          </w:p>
          <w:p w:rsidR="00BA09C0" w:rsidRDefault="00BA09C0" w:rsidP="00B413E6">
            <w:pPr>
              <w:numPr>
                <w:ilvl w:val="0"/>
                <w:numId w:val="3"/>
              </w:numPr>
              <w:spacing w:after="0"/>
              <w:ind w:left="357" w:hanging="357"/>
            </w:pPr>
            <w:r>
              <w:t>The following analysis should be available urgently on request.</w:t>
            </w:r>
            <w:r>
              <w:br/>
              <w:t>Where necessary, laboratories should ensure that arrangements are in place with referral laboratories for these analyses to be available urgently if required, including out of hours where practicable. Ideally, these arrangements should be formal (e.g. SLA).</w:t>
            </w:r>
            <w:r>
              <w:br/>
            </w:r>
            <w:r w:rsidRPr="00B413E6">
              <w:rPr>
                <w:i/>
                <w:iCs/>
                <w:color w:val="808080"/>
              </w:rPr>
              <w:t>Arsenic, carbamazapine, cholinesterase, cyanide, ethylene glycol, lead, mercury, methanol, methotrexate, paraquat (quantitative plasma), phenobarbital, phenytoin, thallium, thyroxine, toxicology screen</w:t>
            </w:r>
          </w:p>
          <w:p w:rsidR="00BA09C0" w:rsidRDefault="00BA09C0" w:rsidP="00B413E6">
            <w:pPr>
              <w:numPr>
                <w:ilvl w:val="0"/>
                <w:numId w:val="3"/>
              </w:numPr>
              <w:spacing w:after="0"/>
              <w:ind w:left="357" w:hanging="357"/>
            </w:pPr>
            <w:r>
              <w:t xml:space="preserve">Laboratories should be aware of the potential for unreliable results in patients receiving treatment for poisoning. Antibody administration in digoxin poisoning interferes with </w:t>
            </w:r>
            <w:r>
              <w:lastRenderedPageBreak/>
              <w:t>immunoassay methods, and desferrioxamine treatment for iron overload can give false results in colorimetric assays.</w:t>
            </w:r>
          </w:p>
          <w:p w:rsidR="00BA09C0" w:rsidRDefault="00BA09C0" w:rsidP="00B413E6">
            <w:pPr>
              <w:numPr>
                <w:ilvl w:val="0"/>
                <w:numId w:val="3"/>
              </w:numPr>
              <w:spacing w:after="0"/>
              <w:ind w:left="357" w:hanging="357"/>
            </w:pPr>
            <w:r>
              <w:t>Laboratories should ensure that arrangements for these analyses are clearly documented and available to staff working out of hours, including those acting as Consultant on Call.</w:t>
            </w:r>
          </w:p>
          <w:p w:rsidR="00BA09C0" w:rsidRDefault="00BA09C0" w:rsidP="00B413E6">
            <w:pPr>
              <w:numPr>
                <w:ilvl w:val="0"/>
                <w:numId w:val="3"/>
              </w:numPr>
              <w:spacing w:after="0"/>
              <w:ind w:left="357" w:hanging="357"/>
            </w:pPr>
            <w:r>
              <w:t>Laboratories should, wherever practical, adopt the recommendations of the Pathology Harmony group for reference / therapeutic ranges and reporting units.</w:t>
            </w:r>
          </w:p>
          <w:p w:rsidR="00BA09C0" w:rsidRPr="00BC7ADD" w:rsidRDefault="00BA09C0" w:rsidP="00B413E6">
            <w:pPr>
              <w:numPr>
                <w:ilvl w:val="0"/>
                <w:numId w:val="3"/>
              </w:numPr>
              <w:spacing w:after="0"/>
              <w:ind w:left="357" w:hanging="357"/>
            </w:pPr>
            <w:r>
              <w:t>Laboratories should consider the provision of a paraquat testing service, and ensure that the procedure for handling a potential request is documented and available to staff including those working OOH and acting as Consultant On Call.</w:t>
            </w:r>
          </w:p>
          <w:p w:rsidR="00BA09C0" w:rsidRPr="00BC7ADD" w:rsidRDefault="00BA09C0" w:rsidP="00B413E6">
            <w:pPr>
              <w:spacing w:after="0"/>
            </w:pPr>
          </w:p>
        </w:tc>
      </w:tr>
      <w:tr w:rsidR="00BA09C0" w:rsidRPr="00BC7ADD">
        <w:tc>
          <w:tcPr>
            <w:tcW w:w="9242" w:type="dxa"/>
            <w:gridSpan w:val="2"/>
          </w:tcPr>
          <w:p w:rsidR="00BA09C0" w:rsidRPr="00BC7ADD" w:rsidRDefault="00BA09C0" w:rsidP="00BC7ADD">
            <w:pPr>
              <w:spacing w:after="0"/>
              <w:rPr>
                <w:b/>
                <w:bCs/>
              </w:rPr>
            </w:pPr>
            <w:r w:rsidRPr="00BC7ADD">
              <w:rPr>
                <w:b/>
                <w:bCs/>
              </w:rPr>
              <w:lastRenderedPageBreak/>
              <w:t>Please indicate to whom and when audit presented  &amp;/or circulated</w:t>
            </w:r>
            <w:r>
              <w:rPr>
                <w:b/>
                <w:bCs/>
              </w:rPr>
              <w:t>&amp;/or published</w:t>
            </w:r>
            <w:r w:rsidRPr="00BC7ADD">
              <w:rPr>
                <w:b/>
                <w:bCs/>
              </w:rPr>
              <w:t>:</w:t>
            </w:r>
          </w:p>
          <w:p w:rsidR="00BA09C0" w:rsidRPr="00BC7ADD" w:rsidRDefault="00BA09C0" w:rsidP="00BC7ADD">
            <w:pPr>
              <w:spacing w:after="0"/>
            </w:pPr>
            <w:r>
              <w:t>Audit findings presented at the meeting of the Thames Audit Group on 23</w:t>
            </w:r>
            <w:r w:rsidRPr="00B413E6">
              <w:rPr>
                <w:vertAlign w:val="superscript"/>
              </w:rPr>
              <w:t>rd</w:t>
            </w:r>
            <w:r>
              <w:t xml:space="preserve"> March 2015.</w:t>
            </w:r>
          </w:p>
          <w:p w:rsidR="00BA09C0" w:rsidRPr="00BC7ADD" w:rsidRDefault="00BA09C0" w:rsidP="00BC7ADD">
            <w:pPr>
              <w:spacing w:after="0"/>
            </w:pPr>
          </w:p>
          <w:p w:rsidR="00BA09C0" w:rsidRPr="00BC7ADD" w:rsidRDefault="00BA09C0" w:rsidP="00BC7ADD">
            <w:pPr>
              <w:spacing w:after="0"/>
            </w:pPr>
          </w:p>
        </w:tc>
      </w:tr>
      <w:tr w:rsidR="00BA09C0" w:rsidRPr="00BC7ADD">
        <w:tc>
          <w:tcPr>
            <w:tcW w:w="9242" w:type="dxa"/>
            <w:gridSpan w:val="2"/>
          </w:tcPr>
          <w:p w:rsidR="00BA09C0" w:rsidRPr="00BC7ADD" w:rsidRDefault="00BA09C0" w:rsidP="00BC7ADD">
            <w:pPr>
              <w:spacing w:after="0"/>
              <w:rPr>
                <w:b/>
                <w:bCs/>
              </w:rPr>
            </w:pPr>
            <w:r w:rsidRPr="00BC7ADD">
              <w:rPr>
                <w:b/>
                <w:bCs/>
              </w:rPr>
              <w:t>Audit recommendations / standards ratified by … and when:</w:t>
            </w:r>
          </w:p>
          <w:p w:rsidR="00BA09C0" w:rsidRPr="00BC7ADD" w:rsidRDefault="00BA09C0" w:rsidP="00BC7ADD">
            <w:pPr>
              <w:spacing w:after="0"/>
            </w:pPr>
            <w:r>
              <w:t>Recommendations ratified by the Thames Audit Group committee on 31</w:t>
            </w:r>
            <w:r w:rsidRPr="00B413E6">
              <w:rPr>
                <w:vertAlign w:val="superscript"/>
              </w:rPr>
              <w:t>st</w:t>
            </w:r>
            <w:r>
              <w:t xml:space="preserve"> July 2015.</w:t>
            </w:r>
          </w:p>
          <w:p w:rsidR="00BA09C0" w:rsidRPr="00BC7ADD" w:rsidRDefault="00BA09C0" w:rsidP="00BC7ADD">
            <w:pPr>
              <w:spacing w:after="0"/>
            </w:pPr>
          </w:p>
          <w:p w:rsidR="00BA09C0" w:rsidRPr="00BC7ADD" w:rsidRDefault="00BA09C0" w:rsidP="00BC7ADD">
            <w:pPr>
              <w:spacing w:after="0"/>
            </w:pPr>
          </w:p>
        </w:tc>
      </w:tr>
      <w:tr w:rsidR="00BA09C0" w:rsidRPr="00BC7ADD">
        <w:tc>
          <w:tcPr>
            <w:tcW w:w="9242" w:type="dxa"/>
            <w:gridSpan w:val="2"/>
          </w:tcPr>
          <w:p w:rsidR="00BA09C0" w:rsidRPr="00BC7ADD" w:rsidRDefault="00BA09C0" w:rsidP="00BC7ADD">
            <w:pPr>
              <w:spacing w:after="0"/>
              <w:rPr>
                <w:b/>
                <w:bCs/>
              </w:rPr>
            </w:pPr>
            <w:r w:rsidRPr="00BC7ADD">
              <w:rPr>
                <w:b/>
                <w:bCs/>
              </w:rPr>
              <w:t>Date of audit report:</w:t>
            </w:r>
          </w:p>
          <w:p w:rsidR="00BA09C0" w:rsidRPr="00BC7ADD" w:rsidRDefault="00BA09C0" w:rsidP="00BC7ADD">
            <w:pPr>
              <w:spacing w:after="0"/>
            </w:pPr>
            <w:r>
              <w:t>23</w:t>
            </w:r>
            <w:r w:rsidRPr="00B413E6">
              <w:rPr>
                <w:vertAlign w:val="superscript"/>
              </w:rPr>
              <w:t>rd</w:t>
            </w:r>
            <w:r>
              <w:t xml:space="preserve"> March 2015</w:t>
            </w:r>
          </w:p>
        </w:tc>
      </w:tr>
      <w:tr w:rsidR="00BA09C0" w:rsidRPr="00BC7ADD">
        <w:tc>
          <w:tcPr>
            <w:tcW w:w="9242" w:type="dxa"/>
            <w:gridSpan w:val="2"/>
          </w:tcPr>
          <w:p w:rsidR="00BA09C0" w:rsidRDefault="00BA09C0" w:rsidP="00BC7ADD">
            <w:pPr>
              <w:spacing w:after="0"/>
              <w:rPr>
                <w:b/>
                <w:bCs/>
              </w:rPr>
            </w:pPr>
            <w:r>
              <w:rPr>
                <w:b/>
                <w:bCs/>
              </w:rPr>
              <w:t xml:space="preserve">Audit documents for upload to </w:t>
            </w:r>
            <w:r w:rsidRPr="001E7001">
              <w:rPr>
                <w:b/>
                <w:bCs/>
              </w:rPr>
              <w:t>http://www.acb.org.uk/whatwedo/science/audit.aspx</w:t>
            </w:r>
          </w:p>
          <w:p w:rsidR="00BA09C0" w:rsidRPr="00BC7ADD" w:rsidRDefault="00BA09C0" w:rsidP="0023137B">
            <w:pPr>
              <w:spacing w:after="0"/>
              <w:rPr>
                <w:b/>
                <w:bCs/>
              </w:rPr>
            </w:pPr>
            <w:r w:rsidRPr="003824EE">
              <w:rPr>
                <w:b/>
                <w:bCs/>
              </w:rPr>
              <w:object w:dxaOrig="1536" w:dyaOrig="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0" o:title=""/>
                </v:shape>
                <o:OLEObject Type="Embed" ProgID="Package" ShapeID="_x0000_i1025" DrawAspect="Content" ObjectID="_1502633388" r:id="rId11"/>
              </w:object>
            </w:r>
            <w:r w:rsidRPr="003824EE">
              <w:rPr>
                <w:b/>
                <w:bCs/>
              </w:rPr>
              <w:object w:dxaOrig="1536" w:dyaOrig="994">
                <v:shape id="_x0000_i1026" type="#_x0000_t75" style="width:76.5pt;height:49.5pt" o:ole="">
                  <v:imagedata r:id="rId12" o:title=""/>
                </v:shape>
                <o:OLEObject Type="Embed" ProgID="Package" ShapeID="_x0000_i1026" DrawAspect="Content" ObjectID="_1502633389" r:id="rId13"/>
              </w:object>
            </w:r>
            <w:r w:rsidRPr="003824EE">
              <w:rPr>
                <w:b/>
                <w:bCs/>
              </w:rPr>
              <w:object w:dxaOrig="1536" w:dyaOrig="994">
                <v:shape id="_x0000_i1027" type="#_x0000_t75" style="width:76.5pt;height:49.5pt" o:ole="">
                  <v:imagedata r:id="rId14" o:title=""/>
                </v:shape>
                <o:OLEObject Type="Embed" ProgID="Package" ShapeID="_x0000_i1027" DrawAspect="Content" ObjectID="_1502633390" r:id="rId15"/>
              </w:object>
            </w:r>
          </w:p>
        </w:tc>
      </w:tr>
    </w:tbl>
    <w:p w:rsidR="00BA09C0" w:rsidRDefault="00BA09C0" w:rsidP="00E91F94"/>
    <w:p w:rsidR="00BA09C0" w:rsidRDefault="00BA09C0" w:rsidP="00E91F94"/>
    <w:p w:rsidR="00BA09C0" w:rsidRDefault="00BA09C0" w:rsidP="00E91F94">
      <w:r>
        <w:tab/>
      </w:r>
      <w:bookmarkStart w:id="1" w:name="_MON_1500297115"/>
      <w:bookmarkEnd w:id="1"/>
      <w:r>
        <w:tab/>
      </w:r>
      <w:bookmarkStart w:id="2" w:name="_MON_1500297168"/>
      <w:bookmarkStart w:id="3" w:name="_MON_1500297174"/>
      <w:bookmarkStart w:id="4" w:name="_MON_1500297179"/>
      <w:bookmarkEnd w:id="2"/>
      <w:bookmarkEnd w:id="3"/>
      <w:bookmarkEnd w:id="4"/>
    </w:p>
    <w:sectPr w:rsidR="00BA09C0" w:rsidSect="00067E3B">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9C0" w:rsidRDefault="00BA09C0" w:rsidP="00E91F94">
      <w:pPr>
        <w:spacing w:after="0"/>
      </w:pPr>
      <w:r>
        <w:separator/>
      </w:r>
    </w:p>
  </w:endnote>
  <w:endnote w:type="continuationSeparator" w:id="0">
    <w:p w:rsidR="00BA09C0" w:rsidRDefault="00BA09C0" w:rsidP="00E91F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9C0" w:rsidRDefault="00BA09C0" w:rsidP="00E91F94">
      <w:pPr>
        <w:spacing w:after="0"/>
      </w:pPr>
      <w:r>
        <w:separator/>
      </w:r>
    </w:p>
  </w:footnote>
  <w:footnote w:type="continuationSeparator" w:id="0">
    <w:p w:rsidR="00BA09C0" w:rsidRDefault="00BA09C0" w:rsidP="00E91F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82583"/>
    <w:multiLevelType w:val="hybridMultilevel"/>
    <w:tmpl w:val="8E34F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20201818"/>
    <w:multiLevelType w:val="hybridMultilevel"/>
    <w:tmpl w:val="ED0EF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nsid w:val="642D516F"/>
    <w:multiLevelType w:val="hybridMultilevel"/>
    <w:tmpl w:val="BCC678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88E"/>
    <w:rsid w:val="00067E3B"/>
    <w:rsid w:val="000A41A0"/>
    <w:rsid w:val="0010188E"/>
    <w:rsid w:val="00103346"/>
    <w:rsid w:val="00132419"/>
    <w:rsid w:val="00187984"/>
    <w:rsid w:val="001A2402"/>
    <w:rsid w:val="001E7001"/>
    <w:rsid w:val="001E7FE6"/>
    <w:rsid w:val="0023137B"/>
    <w:rsid w:val="002416CA"/>
    <w:rsid w:val="002872B4"/>
    <w:rsid w:val="00287D58"/>
    <w:rsid w:val="00363ACC"/>
    <w:rsid w:val="00376072"/>
    <w:rsid w:val="003824EE"/>
    <w:rsid w:val="003D1E62"/>
    <w:rsid w:val="00411DD5"/>
    <w:rsid w:val="00440C38"/>
    <w:rsid w:val="004A2AD3"/>
    <w:rsid w:val="004E5188"/>
    <w:rsid w:val="0057749D"/>
    <w:rsid w:val="005A2A41"/>
    <w:rsid w:val="005A2D34"/>
    <w:rsid w:val="005D7AFA"/>
    <w:rsid w:val="00627DDC"/>
    <w:rsid w:val="00684256"/>
    <w:rsid w:val="00723047"/>
    <w:rsid w:val="007B4BE3"/>
    <w:rsid w:val="00840D22"/>
    <w:rsid w:val="008A79BE"/>
    <w:rsid w:val="009C0A0E"/>
    <w:rsid w:val="009D6A46"/>
    <w:rsid w:val="009E486A"/>
    <w:rsid w:val="00A225A8"/>
    <w:rsid w:val="00A33869"/>
    <w:rsid w:val="00AF2E0E"/>
    <w:rsid w:val="00B413E6"/>
    <w:rsid w:val="00B50615"/>
    <w:rsid w:val="00B62EC3"/>
    <w:rsid w:val="00BA09C0"/>
    <w:rsid w:val="00BC49A6"/>
    <w:rsid w:val="00BC7ADD"/>
    <w:rsid w:val="00BF5734"/>
    <w:rsid w:val="00C772AB"/>
    <w:rsid w:val="00E9009D"/>
    <w:rsid w:val="00E91F94"/>
    <w:rsid w:val="00FB2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E486A"/>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9A6"/>
    <w:pPr>
      <w:spacing w:after="200"/>
    </w:pPr>
    <w:rPr>
      <w:rFonts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10188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BC7ADD"/>
    <w:pPr>
      <w:spacing w:after="0"/>
    </w:pPr>
    <w:rPr>
      <w:rFonts w:ascii="Tahoma" w:hAnsi="Tahoma" w:cs="Tahoma"/>
      <w:sz w:val="16"/>
      <w:szCs w:val="16"/>
      <w:lang w:val="en-US" w:eastAsia="en-GB"/>
    </w:rPr>
  </w:style>
  <w:style w:type="character" w:customStyle="1" w:styleId="BalloonTextChar">
    <w:name w:val="Balloon Text Char"/>
    <w:basedOn w:val="DefaultParagraphFont"/>
    <w:link w:val="BalloonText"/>
    <w:uiPriority w:val="99"/>
    <w:semiHidden/>
    <w:locked/>
    <w:rsid w:val="00BC7ADD"/>
    <w:rPr>
      <w:rFonts w:ascii="Tahoma" w:hAnsi="Tahoma" w:cs="Tahoma"/>
      <w:sz w:val="16"/>
      <w:szCs w:val="16"/>
    </w:rPr>
  </w:style>
  <w:style w:type="paragraph" w:styleId="DocumentMap">
    <w:name w:val="Document Map"/>
    <w:basedOn w:val="Normal"/>
    <w:link w:val="DocumentMapChar"/>
    <w:uiPriority w:val="99"/>
    <w:semiHidden/>
    <w:rsid w:val="000A41A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9E486A"/>
    <w:rPr>
      <w:rFonts w:ascii="Times New Roman" w:hAnsi="Times New Roman" w:cs="Times New Roman"/>
      <w:sz w:val="2"/>
      <w:szCs w:val="2"/>
      <w:lang w:val="en-GB"/>
    </w:rPr>
  </w:style>
  <w:style w:type="paragraph" w:styleId="Header">
    <w:name w:val="header"/>
    <w:basedOn w:val="Normal"/>
    <w:link w:val="HeaderChar"/>
    <w:uiPriority w:val="99"/>
    <w:rsid w:val="00E91F94"/>
    <w:pPr>
      <w:tabs>
        <w:tab w:val="center" w:pos="4513"/>
        <w:tab w:val="right" w:pos="9026"/>
      </w:tabs>
    </w:pPr>
    <w:rPr>
      <w:lang w:val="en-US"/>
    </w:rPr>
  </w:style>
  <w:style w:type="character" w:customStyle="1" w:styleId="HeaderChar">
    <w:name w:val="Header Char"/>
    <w:basedOn w:val="DefaultParagraphFont"/>
    <w:link w:val="Header"/>
    <w:uiPriority w:val="99"/>
    <w:locked/>
    <w:rsid w:val="00E91F94"/>
    <w:rPr>
      <w:sz w:val="22"/>
      <w:szCs w:val="22"/>
      <w:lang w:eastAsia="en-US"/>
    </w:rPr>
  </w:style>
  <w:style w:type="paragraph" w:styleId="Footer">
    <w:name w:val="footer"/>
    <w:basedOn w:val="Normal"/>
    <w:link w:val="FooterChar"/>
    <w:uiPriority w:val="99"/>
    <w:rsid w:val="00E91F94"/>
    <w:pPr>
      <w:tabs>
        <w:tab w:val="center" w:pos="4513"/>
        <w:tab w:val="right" w:pos="9026"/>
      </w:tabs>
    </w:pPr>
    <w:rPr>
      <w:lang w:val="en-US"/>
    </w:rPr>
  </w:style>
  <w:style w:type="character" w:customStyle="1" w:styleId="FooterChar">
    <w:name w:val="Footer Char"/>
    <w:basedOn w:val="DefaultParagraphFont"/>
    <w:link w:val="Footer"/>
    <w:uiPriority w:val="99"/>
    <w:locked/>
    <w:rsid w:val="00E91F94"/>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3301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Audit Template</vt:lpstr>
    </vt:vector>
  </TitlesOfParts>
  <Company>BCH NHS Trust</Company>
  <LinksUpToDate>false</LinksUpToDate>
  <CharactersWithSpaces>3872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Audit Template</dc:title>
  <dc:creator>M.Bignell</dc:creator>
  <cp:lastModifiedBy>Craig McKibbin</cp:lastModifiedBy>
  <cp:revision>2</cp:revision>
  <cp:lastPrinted>2014-09-17T17:37:00Z</cp:lastPrinted>
  <dcterms:created xsi:type="dcterms:W3CDTF">2015-09-01T16:23:00Z</dcterms:created>
  <dcterms:modified xsi:type="dcterms:W3CDTF">2015-09-01T16:23:00Z</dcterms:modified>
</cp:coreProperties>
</file>