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 ContentType="application/vnd.ms-powerpoi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F58" w:rsidRDefault="00EC6BE1">
      <w:pPr>
        <w:spacing w:after="0"/>
        <w:outlineLvl w:val="0"/>
        <w:rPr>
          <w:b/>
          <w:bCs/>
          <w:sz w:val="36"/>
          <w:szCs w:val="36"/>
        </w:rPr>
      </w:pPr>
      <w:bookmarkStart w:id="0" w:name="_GoBack"/>
      <w:bookmarkEnd w:id="0"/>
      <w:r>
        <w:rPr>
          <w:noProof/>
          <w:lang w:eastAsia="en-GB"/>
        </w:rPr>
        <w:drawing>
          <wp:anchor distT="0" distB="0" distL="0" distR="0" simplePos="0" relativeHeight="251658240" behindDoc="1" locked="0" layoutInCell="1" allowOverlap="1">
            <wp:simplePos x="0" y="0"/>
            <wp:positionH relativeFrom="column">
              <wp:posOffset>180975</wp:posOffset>
            </wp:positionH>
            <wp:positionV relativeFrom="paragraph">
              <wp:posOffset>-476250</wp:posOffset>
            </wp:positionV>
            <wp:extent cx="3058160" cy="848360"/>
            <wp:effectExtent l="0" t="0" r="8890" b="889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8160" cy="8483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0" distR="0" simplePos="0" relativeHeight="251659264" behindDoc="1" locked="0" layoutInCell="1" allowOverlap="1">
            <wp:simplePos x="0" y="0"/>
            <wp:positionH relativeFrom="column">
              <wp:posOffset>-75565</wp:posOffset>
            </wp:positionH>
            <wp:positionV relativeFrom="margin">
              <wp:posOffset>-473710</wp:posOffset>
            </wp:positionV>
            <wp:extent cx="2600960" cy="865505"/>
            <wp:effectExtent l="0" t="0" r="889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0960" cy="865505"/>
                    </a:xfrm>
                    <a:prstGeom prst="rect">
                      <a:avLst/>
                    </a:prstGeom>
                    <a:noFill/>
                  </pic:spPr>
                </pic:pic>
              </a:graphicData>
            </a:graphic>
            <wp14:sizeRelH relativeFrom="page">
              <wp14:pctWidth>0</wp14:pctWidth>
            </wp14:sizeRelH>
            <wp14:sizeRelV relativeFrom="page">
              <wp14:pctHeight>0</wp14:pctHeight>
            </wp14:sizeRelV>
          </wp:anchor>
        </w:drawing>
      </w:r>
    </w:p>
    <w:p w:rsidR="00061F58" w:rsidRDefault="00061F58">
      <w:pPr>
        <w:spacing w:after="240"/>
        <w:jc w:val="center"/>
        <w:outlineLvl w:val="0"/>
        <w:rPr>
          <w:b/>
          <w:bCs/>
          <w:sz w:val="16"/>
          <w:szCs w:val="16"/>
        </w:rPr>
      </w:pPr>
    </w:p>
    <w:p w:rsidR="00061F58" w:rsidRDefault="00061F58">
      <w:pPr>
        <w:spacing w:after="240"/>
        <w:jc w:val="center"/>
        <w:outlineLvl w:val="0"/>
        <w:rPr>
          <w:b/>
          <w:bCs/>
          <w:sz w:val="36"/>
          <w:szCs w:val="36"/>
        </w:rPr>
      </w:pPr>
      <w:r>
        <w:rPr>
          <w:b/>
          <w:bCs/>
          <w:sz w:val="36"/>
          <w:szCs w:val="36"/>
        </w:rPr>
        <w:t>Audit Template</w:t>
      </w:r>
    </w:p>
    <w:tbl>
      <w:tblPr>
        <w:tblW w:w="9242" w:type="dxa"/>
        <w:tblInd w:w="-10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
      <w:tblGrid>
        <w:gridCol w:w="4620"/>
        <w:gridCol w:w="4622"/>
      </w:tblGrid>
      <w:tr w:rsidR="00061F58">
        <w:tc>
          <w:tcPr>
            <w:tcW w:w="9241" w:type="dxa"/>
            <w:gridSpan w:val="2"/>
            <w:tcMar>
              <w:left w:w="103" w:type="dxa"/>
            </w:tcMar>
          </w:tcPr>
          <w:p w:rsidR="00061F58" w:rsidRDefault="00061F58">
            <w:pPr>
              <w:spacing w:after="0"/>
              <w:rPr>
                <w:b/>
                <w:bCs/>
              </w:rPr>
            </w:pPr>
            <w:r>
              <w:rPr>
                <w:b/>
                <w:bCs/>
              </w:rPr>
              <w:t>Audit Title:</w:t>
            </w:r>
          </w:p>
          <w:p w:rsidR="00061F58" w:rsidRDefault="00061F58">
            <w:pPr>
              <w:spacing w:after="0"/>
            </w:pPr>
            <w:r>
              <w:t>Audit of Lipids</w:t>
            </w:r>
          </w:p>
          <w:p w:rsidR="00061F58" w:rsidRDefault="00061F58">
            <w:pPr>
              <w:spacing w:after="0"/>
            </w:pPr>
          </w:p>
        </w:tc>
      </w:tr>
      <w:tr w:rsidR="00061F58">
        <w:tc>
          <w:tcPr>
            <w:tcW w:w="4620" w:type="dxa"/>
            <w:tcMar>
              <w:left w:w="103" w:type="dxa"/>
            </w:tcMar>
          </w:tcPr>
          <w:p w:rsidR="00061F58" w:rsidRDefault="00061F58">
            <w:pPr>
              <w:spacing w:after="0"/>
            </w:pPr>
            <w:r>
              <w:rPr>
                <w:b/>
                <w:bCs/>
              </w:rPr>
              <w:t>Lead Auditor:</w:t>
            </w:r>
          </w:p>
          <w:p w:rsidR="00061F58" w:rsidRDefault="00061F58">
            <w:pPr>
              <w:spacing w:after="0"/>
            </w:pPr>
            <w:r>
              <w:rPr>
                <w:b/>
                <w:bCs/>
              </w:rPr>
              <w:t>Dawn Grenshaw</w:t>
            </w:r>
          </w:p>
        </w:tc>
        <w:tc>
          <w:tcPr>
            <w:tcW w:w="4621" w:type="dxa"/>
            <w:tcMar>
              <w:left w:w="103" w:type="dxa"/>
            </w:tcMar>
          </w:tcPr>
          <w:p w:rsidR="00061F58" w:rsidRDefault="00061F58">
            <w:pPr>
              <w:spacing w:after="0"/>
              <w:rPr>
                <w:b/>
                <w:bCs/>
              </w:rPr>
            </w:pPr>
            <w:r>
              <w:rPr>
                <w:b/>
                <w:bCs/>
              </w:rPr>
              <w:t>Audit date(s):</w:t>
            </w:r>
          </w:p>
          <w:p w:rsidR="00061F58" w:rsidRDefault="00061F58">
            <w:pPr>
              <w:spacing w:after="0"/>
              <w:rPr>
                <w:sz w:val="18"/>
                <w:szCs w:val="18"/>
              </w:rPr>
            </w:pPr>
            <w:r>
              <w:rPr>
                <w:sz w:val="18"/>
                <w:szCs w:val="18"/>
              </w:rPr>
              <w:t>6</w:t>
            </w:r>
            <w:r w:rsidRPr="00675A7D">
              <w:rPr>
                <w:sz w:val="18"/>
                <w:szCs w:val="18"/>
                <w:vertAlign w:val="superscript"/>
              </w:rPr>
              <w:t>th</w:t>
            </w:r>
            <w:r>
              <w:rPr>
                <w:sz w:val="18"/>
                <w:szCs w:val="18"/>
              </w:rPr>
              <w:t xml:space="preserve"> June 2016</w:t>
            </w:r>
          </w:p>
          <w:p w:rsidR="00061F58" w:rsidRDefault="00061F58">
            <w:pPr>
              <w:spacing w:after="0"/>
              <w:rPr>
                <w:sz w:val="18"/>
                <w:szCs w:val="18"/>
              </w:rPr>
            </w:pPr>
          </w:p>
        </w:tc>
      </w:tr>
      <w:tr w:rsidR="00061F58">
        <w:tc>
          <w:tcPr>
            <w:tcW w:w="4620" w:type="dxa"/>
            <w:tcMar>
              <w:left w:w="103" w:type="dxa"/>
            </w:tcMar>
          </w:tcPr>
          <w:p w:rsidR="00061F58" w:rsidRDefault="00061F58">
            <w:pPr>
              <w:spacing w:after="0"/>
            </w:pPr>
            <w:r>
              <w:rPr>
                <w:sz w:val="18"/>
                <w:szCs w:val="18"/>
              </w:rPr>
              <w:t xml:space="preserve">Please indicate if   </w:t>
            </w:r>
            <w:r>
              <w:rPr>
                <w:b/>
                <w:bCs/>
              </w:rPr>
              <w:t>Regional</w:t>
            </w:r>
          </w:p>
          <w:p w:rsidR="00061F58" w:rsidRDefault="00061F58">
            <w:pPr>
              <w:spacing w:after="0"/>
              <w:rPr>
                <w:sz w:val="18"/>
                <w:szCs w:val="18"/>
              </w:rPr>
            </w:pPr>
            <w:r>
              <w:rPr>
                <w:sz w:val="18"/>
                <w:szCs w:val="18"/>
              </w:rPr>
              <w:t>Please indicate which hospital &amp; location or region</w:t>
            </w:r>
          </w:p>
          <w:p w:rsidR="00061F58" w:rsidRDefault="00061F58">
            <w:pPr>
              <w:spacing w:after="0"/>
              <w:rPr>
                <w:b/>
                <w:bCs/>
              </w:rPr>
            </w:pPr>
            <w:r>
              <w:rPr>
                <w:b/>
                <w:bCs/>
              </w:rPr>
              <w:t>Wexham Park Hospital</w:t>
            </w:r>
          </w:p>
          <w:p w:rsidR="00061F58" w:rsidRDefault="00061F58">
            <w:pPr>
              <w:spacing w:after="0"/>
              <w:rPr>
                <w:b/>
                <w:bCs/>
              </w:rPr>
            </w:pPr>
            <w:r>
              <w:rPr>
                <w:b/>
                <w:bCs/>
              </w:rPr>
              <w:t>Southern region</w:t>
            </w:r>
          </w:p>
          <w:p w:rsidR="00061F58" w:rsidRDefault="00061F58">
            <w:pPr>
              <w:spacing w:after="0"/>
              <w:rPr>
                <w:b/>
                <w:bCs/>
              </w:rPr>
            </w:pPr>
          </w:p>
        </w:tc>
        <w:tc>
          <w:tcPr>
            <w:tcW w:w="4621" w:type="dxa"/>
            <w:tcMar>
              <w:left w:w="103" w:type="dxa"/>
            </w:tcMar>
          </w:tcPr>
          <w:p w:rsidR="00061F58" w:rsidRDefault="00061F58">
            <w:pPr>
              <w:spacing w:after="0"/>
              <w:rPr>
                <w:b/>
                <w:bCs/>
              </w:rPr>
            </w:pPr>
            <w:r>
              <w:rPr>
                <w:b/>
                <w:bCs/>
              </w:rPr>
              <w:t>Report Author:</w:t>
            </w:r>
          </w:p>
          <w:p w:rsidR="00061F58" w:rsidRDefault="00061F58">
            <w:pPr>
              <w:spacing w:after="0"/>
            </w:pPr>
            <w:r>
              <w:t>Name: Dawn Grenshaw</w:t>
            </w:r>
          </w:p>
          <w:p w:rsidR="00061F58" w:rsidRDefault="00061F58">
            <w:pPr>
              <w:spacing w:after="0"/>
            </w:pPr>
          </w:p>
          <w:p w:rsidR="00061F58" w:rsidRDefault="00061F58" w:rsidP="00A55CFC">
            <w:pPr>
              <w:spacing w:after="0"/>
            </w:pPr>
            <w:r>
              <w:t>Email: DawnGrenshaw@nhs.net</w:t>
            </w:r>
          </w:p>
        </w:tc>
      </w:tr>
      <w:tr w:rsidR="00061F58">
        <w:tc>
          <w:tcPr>
            <w:tcW w:w="9241" w:type="dxa"/>
            <w:gridSpan w:val="2"/>
            <w:tcMar>
              <w:left w:w="103" w:type="dxa"/>
            </w:tcMar>
          </w:tcPr>
          <w:p w:rsidR="00061F58" w:rsidRDefault="00061F58">
            <w:pPr>
              <w:spacing w:after="0"/>
              <w:rPr>
                <w:b/>
                <w:bCs/>
              </w:rPr>
            </w:pPr>
            <w:r>
              <w:rPr>
                <w:b/>
                <w:bCs/>
              </w:rPr>
              <w:t>Aims of the Audit:</w:t>
            </w:r>
          </w:p>
          <w:p w:rsidR="00061F58" w:rsidRDefault="00061F58" w:rsidP="00916B26">
            <w:pPr>
              <w:spacing w:after="0"/>
            </w:pPr>
            <w:r>
              <w:t>To review the use of lipid testing in the Southern region. To identify any areas for improvement and/or harmonisation.</w:t>
            </w:r>
          </w:p>
          <w:p w:rsidR="00061F58" w:rsidRDefault="00061F58" w:rsidP="00916B26">
            <w:pPr>
              <w:spacing w:after="0"/>
            </w:pPr>
          </w:p>
        </w:tc>
      </w:tr>
      <w:tr w:rsidR="00061F58">
        <w:tc>
          <w:tcPr>
            <w:tcW w:w="9241" w:type="dxa"/>
            <w:gridSpan w:val="2"/>
            <w:tcMar>
              <w:left w:w="103" w:type="dxa"/>
            </w:tcMar>
          </w:tcPr>
          <w:p w:rsidR="00061F58" w:rsidRDefault="00061F58">
            <w:pPr>
              <w:spacing w:after="0"/>
            </w:pPr>
            <w:r>
              <w:rPr>
                <w:b/>
                <w:bCs/>
              </w:rPr>
              <w:t>Audit Method and Outcome(s):</w:t>
            </w:r>
          </w:p>
          <w:p w:rsidR="00061F58" w:rsidRDefault="00061F58">
            <w:pPr>
              <w:spacing w:after="0"/>
            </w:pPr>
            <w:r>
              <w:t xml:space="preserve">An audit questionnaire was devised by the lead auditor and ratified by the committee of the Thames Audit Group (TAG), which referred to guidance given in the NICE Clinical Guideline 181 (2014) and also the NICE Clinical Guideline CG71 (2008) regarding the identification and management of familial hypercholesterolaemia. A total of 18 responses were received and included in the audit. </w:t>
            </w:r>
          </w:p>
          <w:p w:rsidR="00061F58" w:rsidRDefault="00061F58">
            <w:pPr>
              <w:spacing w:after="0"/>
            </w:pPr>
          </w:p>
          <w:p w:rsidR="00061F58" w:rsidRPr="00100523" w:rsidRDefault="00061F58" w:rsidP="00100523">
            <w:pPr>
              <w:spacing w:after="0"/>
            </w:pPr>
            <w:r>
              <w:t>A</w:t>
            </w:r>
            <w:r w:rsidRPr="00100523">
              <w:t xml:space="preserve"> large amount of variation </w:t>
            </w:r>
            <w:r>
              <w:t xml:space="preserve">was seen </w:t>
            </w:r>
            <w:r w:rsidRPr="00100523">
              <w:t>in the contents of lipid profiles</w:t>
            </w:r>
            <w:r>
              <w:t xml:space="preserve"> between labs across the region.  There was also wide variation in the </w:t>
            </w:r>
            <w:r w:rsidRPr="00100523">
              <w:t xml:space="preserve">fasting time recommended, lipid reference/guidance ranges and </w:t>
            </w:r>
            <w:r>
              <w:t>interpretative comments</w:t>
            </w:r>
            <w:r w:rsidRPr="00100523">
              <w:t>.</w:t>
            </w:r>
          </w:p>
          <w:p w:rsidR="00061F58" w:rsidRDefault="00061F58" w:rsidP="00100523">
            <w:pPr>
              <w:spacing w:after="0"/>
            </w:pPr>
          </w:p>
          <w:p w:rsidR="00061F58" w:rsidRPr="00100523" w:rsidRDefault="00061F58" w:rsidP="00100523">
            <w:pPr>
              <w:spacing w:after="0"/>
            </w:pPr>
            <w:r w:rsidRPr="00100523">
              <w:t>All labs were aware of NICE CG181.</w:t>
            </w:r>
            <w:r>
              <w:t xml:space="preserve">  </w:t>
            </w:r>
            <w:r w:rsidRPr="00100523">
              <w:t>Most labs (15/18) include non-H</w:t>
            </w:r>
            <w:r>
              <w:t xml:space="preserve">DL cholesterol in their lipid profile(s) </w:t>
            </w:r>
            <w:r>
              <w:rPr>
                <w:color w:val="auto"/>
              </w:rPr>
              <w:t>with a further 2</w:t>
            </w:r>
            <w:r>
              <w:t xml:space="preserve"> labs planning to include it in the future</w:t>
            </w:r>
            <w:r w:rsidRPr="00100523">
              <w:t>.</w:t>
            </w:r>
          </w:p>
          <w:p w:rsidR="00061F58" w:rsidRDefault="00061F58" w:rsidP="00100523">
            <w:pPr>
              <w:spacing w:after="0"/>
            </w:pPr>
          </w:p>
          <w:p w:rsidR="00061F58" w:rsidRPr="00100523" w:rsidRDefault="00061F58" w:rsidP="00100523">
            <w:pPr>
              <w:spacing w:after="0"/>
            </w:pPr>
            <w:r w:rsidRPr="00100523">
              <w:t xml:space="preserve">Most labs (14/18) include </w:t>
            </w:r>
            <w:r>
              <w:t>the Total Cholesterol: HDL Cholesterol ratio</w:t>
            </w:r>
            <w:r w:rsidRPr="00100523">
              <w:t xml:space="preserve"> in their lipid profile(s).</w:t>
            </w:r>
          </w:p>
          <w:p w:rsidR="00061F58" w:rsidRDefault="00061F58">
            <w:pPr>
              <w:spacing w:after="0"/>
            </w:pPr>
          </w:p>
        </w:tc>
      </w:tr>
      <w:tr w:rsidR="00061F58">
        <w:tc>
          <w:tcPr>
            <w:tcW w:w="9241" w:type="dxa"/>
            <w:gridSpan w:val="2"/>
            <w:tcMar>
              <w:left w:w="103" w:type="dxa"/>
            </w:tcMar>
          </w:tcPr>
          <w:p w:rsidR="00061F58" w:rsidRDefault="00061F58">
            <w:pPr>
              <w:spacing w:after="0"/>
              <w:rPr>
                <w:b/>
                <w:bCs/>
              </w:rPr>
            </w:pPr>
            <w:r>
              <w:rPr>
                <w:b/>
                <w:bCs/>
              </w:rPr>
              <w:t>Audit Recommendations / Standards:</w:t>
            </w:r>
          </w:p>
          <w:p w:rsidR="00061F58" w:rsidRDefault="00061F58" w:rsidP="0037682F">
            <w:pPr>
              <w:widowControl w:val="0"/>
              <w:spacing w:after="0"/>
              <w:ind w:left="360"/>
            </w:pPr>
            <w:r>
              <w:t>1.</w:t>
            </w:r>
            <w:r>
              <w:tab/>
              <w:t xml:space="preserve">A non-fasting lipid profile should be recommended as the first-line lipid profile in the vast majority of patients (NICE CG181). </w:t>
            </w:r>
          </w:p>
          <w:p w:rsidR="00061F58" w:rsidRDefault="00061F58" w:rsidP="0037682F">
            <w:pPr>
              <w:widowControl w:val="0"/>
              <w:spacing w:after="0"/>
              <w:ind w:left="360"/>
            </w:pPr>
            <w:r>
              <w:t>2.</w:t>
            </w:r>
            <w:r>
              <w:tab/>
              <w:t>It is recommended that laboratories provide a lipid profile that includes TC, HDL, non-HDL and TG, where fasting is not required (NICE CG181).</w:t>
            </w:r>
          </w:p>
          <w:p w:rsidR="00061F58" w:rsidRDefault="00061F58" w:rsidP="0037682F">
            <w:pPr>
              <w:widowControl w:val="0"/>
              <w:spacing w:after="0"/>
              <w:ind w:left="360"/>
            </w:pPr>
            <w:r>
              <w:t>3.</w:t>
            </w:r>
            <w:r>
              <w:tab/>
              <w:t xml:space="preserve">It is recommended that laboratories also provide the TC:HDL ratio on lipid profiles, as this is required for the QRISK2 calculator (NICE CG181). </w:t>
            </w:r>
          </w:p>
          <w:p w:rsidR="00061F58" w:rsidRDefault="00061F58" w:rsidP="0037682F">
            <w:pPr>
              <w:widowControl w:val="0"/>
              <w:spacing w:after="0"/>
              <w:ind w:left="360"/>
            </w:pPr>
            <w:r>
              <w:t>4.</w:t>
            </w:r>
            <w:r>
              <w:tab/>
              <w:t>It is recommended that laboratories continue to provide fasting lipid profiles that include calculated LDL when requested, as this may be needed in the diagnosis and monitoring of patients with FH (NICE CG71).</w:t>
            </w:r>
          </w:p>
          <w:p w:rsidR="00061F58" w:rsidRDefault="00061F58" w:rsidP="0037682F">
            <w:pPr>
              <w:widowControl w:val="0"/>
              <w:spacing w:after="0"/>
              <w:ind w:left="360"/>
            </w:pPr>
            <w:r>
              <w:t>5.</w:t>
            </w:r>
            <w:r>
              <w:tab/>
              <w:t>It is recommended that laboratories provide fasting TG analysis, which may be required to follow up patients with high non-fasting TG (NICE CG181).</w:t>
            </w:r>
          </w:p>
          <w:p w:rsidR="00061F58" w:rsidRDefault="00061F58" w:rsidP="0037682F">
            <w:pPr>
              <w:widowControl w:val="0"/>
              <w:spacing w:after="0"/>
              <w:ind w:left="360"/>
            </w:pPr>
            <w:r>
              <w:t>6.</w:t>
            </w:r>
            <w:r>
              <w:tab/>
              <w:t>It is recommended that request forms should include an option to state whether the patient is fasting and that fasting status is included on the report.</w:t>
            </w:r>
          </w:p>
          <w:p w:rsidR="00061F58" w:rsidRDefault="00061F58" w:rsidP="0037682F">
            <w:pPr>
              <w:widowControl w:val="0"/>
              <w:spacing w:after="0"/>
              <w:ind w:left="360"/>
            </w:pPr>
            <w:r>
              <w:t>7.</w:t>
            </w:r>
            <w:r>
              <w:tab/>
              <w:t>Adult patients should fast for at least 12 hours before a sample is taken for fasting lipids.  Pre-prandial samples are recommended for children.3</w:t>
            </w:r>
          </w:p>
          <w:p w:rsidR="00061F58" w:rsidRDefault="00061F58" w:rsidP="0037682F">
            <w:pPr>
              <w:widowControl w:val="0"/>
              <w:spacing w:after="0"/>
              <w:ind w:left="360"/>
            </w:pPr>
            <w:r>
              <w:t>8.</w:t>
            </w:r>
            <w:r>
              <w:tab/>
              <w:t xml:space="preserve">LDL should be calculated using the Friedewald equation (LDL (mmol/L) = TC-(HDL + TG/2.2) </w:t>
            </w:r>
            <w:r>
              <w:lastRenderedPageBreak/>
              <w:t>and the result should only be reported in fasting samples where the TG is £ 4.5 mmol/L.4</w:t>
            </w:r>
          </w:p>
          <w:p w:rsidR="00061F58" w:rsidRDefault="00061F58" w:rsidP="0037682F">
            <w:pPr>
              <w:widowControl w:val="0"/>
              <w:spacing w:after="0"/>
              <w:ind w:left="360"/>
            </w:pPr>
            <w:r>
              <w:t>9.</w:t>
            </w:r>
            <w:r>
              <w:tab/>
              <w:t>Triglycerides should be measured on relevant samples that are visibly lipaemic and/or have a high lipaemic index to potentially identify patients that could benefit from a specialist referral.</w:t>
            </w:r>
          </w:p>
          <w:p w:rsidR="00061F58" w:rsidRDefault="00061F58" w:rsidP="0037682F">
            <w:pPr>
              <w:widowControl w:val="0"/>
              <w:spacing w:after="0"/>
              <w:ind w:left="360"/>
            </w:pPr>
            <w:r>
              <w:t>10.</w:t>
            </w:r>
            <w:r>
              <w:tab/>
              <w:t>Triglyceride concentrations &gt;20 mmol/L should be phoned to the requesting clinician. 5</w:t>
            </w:r>
          </w:p>
          <w:p w:rsidR="00061F58" w:rsidRDefault="00061F58" w:rsidP="0037682F">
            <w:pPr>
              <w:widowControl w:val="0"/>
              <w:spacing w:after="0"/>
              <w:ind w:left="360"/>
            </w:pPr>
            <w:r>
              <w:t>11.</w:t>
            </w:r>
            <w:r>
              <w:tab/>
              <w:t>It is recommended that grossly abnormal lipid results should be clinically as well as technically validated by qualified laboratory staff.</w:t>
            </w:r>
          </w:p>
          <w:p w:rsidR="00061F58" w:rsidRDefault="00061F58" w:rsidP="0037682F">
            <w:pPr>
              <w:widowControl w:val="0"/>
              <w:spacing w:after="0"/>
              <w:ind w:left="360"/>
            </w:pPr>
            <w:r>
              <w:t>12.</w:t>
            </w:r>
            <w:r>
              <w:tab/>
              <w:t>It is recommended that interpretative comments be provided to significantly abnormal lipid results, where appropriate, particularly:</w:t>
            </w:r>
          </w:p>
          <w:p w:rsidR="00061F58" w:rsidRDefault="00061F58" w:rsidP="00A13C8F">
            <w:pPr>
              <w:widowControl w:val="0"/>
              <w:spacing w:after="0"/>
              <w:ind w:left="360"/>
            </w:pPr>
            <w:r>
              <w:t>a.</w:t>
            </w:r>
            <w:r>
              <w:tab/>
              <w:t>highlighting the need to exclude secondary dyslipidaemias such as hypothyroidism, diabetes mellitus and alcohol.</w:t>
            </w:r>
          </w:p>
          <w:p w:rsidR="00061F58" w:rsidRDefault="00061F58" w:rsidP="00A13C8F">
            <w:pPr>
              <w:widowControl w:val="0"/>
              <w:spacing w:after="0"/>
              <w:ind w:left="360"/>
            </w:pPr>
            <w:r>
              <w:t>b.</w:t>
            </w:r>
            <w:r>
              <w:tab/>
              <w:t xml:space="preserve">in patients with TC &gt;7.5, suggesting that consideration be given to the possibility of familial hypercholesterolaemia. </w:t>
            </w:r>
          </w:p>
          <w:p w:rsidR="00061F58" w:rsidRDefault="00061F58" w:rsidP="00A13C8F">
            <w:pPr>
              <w:widowControl w:val="0"/>
              <w:spacing w:after="0"/>
              <w:ind w:left="360"/>
            </w:pPr>
            <w:r>
              <w:t>c.</w:t>
            </w:r>
            <w:r>
              <w:tab/>
              <w:t>where the TG is &gt;10 mmol/L, suggesting appropriate action such as repeating a fasting level, excluding secondary causes, highlighting the risk of pancreatitis and recommending specialist follow-up where appropriate.</w:t>
            </w:r>
          </w:p>
        </w:tc>
      </w:tr>
      <w:tr w:rsidR="00061F58">
        <w:tc>
          <w:tcPr>
            <w:tcW w:w="9241" w:type="dxa"/>
            <w:gridSpan w:val="2"/>
            <w:tcMar>
              <w:left w:w="103" w:type="dxa"/>
            </w:tcMar>
          </w:tcPr>
          <w:p w:rsidR="00061F58" w:rsidRDefault="00061F58">
            <w:pPr>
              <w:spacing w:after="0"/>
              <w:rPr>
                <w:b/>
                <w:bCs/>
              </w:rPr>
            </w:pPr>
            <w:r>
              <w:rPr>
                <w:b/>
                <w:bCs/>
              </w:rPr>
              <w:lastRenderedPageBreak/>
              <w:t>Please indicate to whom and when audit presented  &amp;/or circulated&amp;/or published:</w:t>
            </w:r>
          </w:p>
          <w:p w:rsidR="00061F58" w:rsidRDefault="00061F58">
            <w:pPr>
              <w:spacing w:after="0"/>
            </w:pPr>
            <w:r>
              <w:t>Audit presented at the Thames Audit meeting on 6</w:t>
            </w:r>
            <w:r w:rsidRPr="00E440FB">
              <w:rPr>
                <w:vertAlign w:val="superscript"/>
              </w:rPr>
              <w:t>th</w:t>
            </w:r>
            <w:r>
              <w:t xml:space="preserve"> June 2016.</w:t>
            </w:r>
          </w:p>
          <w:p w:rsidR="00061F58" w:rsidRDefault="00061F58">
            <w:pPr>
              <w:spacing w:after="0"/>
            </w:pPr>
          </w:p>
          <w:p w:rsidR="00061F58" w:rsidRDefault="00061F58">
            <w:pPr>
              <w:spacing w:after="0"/>
            </w:pPr>
          </w:p>
        </w:tc>
      </w:tr>
      <w:tr w:rsidR="00061F58">
        <w:tc>
          <w:tcPr>
            <w:tcW w:w="9241" w:type="dxa"/>
            <w:gridSpan w:val="2"/>
            <w:tcMar>
              <w:left w:w="103" w:type="dxa"/>
            </w:tcMar>
          </w:tcPr>
          <w:p w:rsidR="00061F58" w:rsidRDefault="00061F58">
            <w:pPr>
              <w:spacing w:after="0"/>
              <w:rPr>
                <w:b/>
                <w:bCs/>
              </w:rPr>
            </w:pPr>
            <w:r>
              <w:rPr>
                <w:b/>
                <w:bCs/>
              </w:rPr>
              <w:t>Audit recommendations / standards ratified by … and when:</w:t>
            </w:r>
          </w:p>
          <w:p w:rsidR="00061F58" w:rsidRDefault="00061F58">
            <w:pPr>
              <w:spacing w:after="0"/>
            </w:pPr>
            <w:r>
              <w:t>Thames Audit Committee meeting – 28</w:t>
            </w:r>
            <w:r w:rsidRPr="00E440FB">
              <w:rPr>
                <w:vertAlign w:val="superscript"/>
              </w:rPr>
              <w:t>th</w:t>
            </w:r>
            <w:r>
              <w:t xml:space="preserve"> November 2016</w:t>
            </w:r>
          </w:p>
          <w:p w:rsidR="00061F58" w:rsidRDefault="00061F58">
            <w:pPr>
              <w:spacing w:after="0"/>
            </w:pPr>
          </w:p>
          <w:p w:rsidR="00061F58" w:rsidRDefault="00061F58">
            <w:pPr>
              <w:spacing w:after="0"/>
            </w:pPr>
          </w:p>
        </w:tc>
      </w:tr>
      <w:tr w:rsidR="00061F58">
        <w:tc>
          <w:tcPr>
            <w:tcW w:w="9241" w:type="dxa"/>
            <w:gridSpan w:val="2"/>
            <w:tcMar>
              <w:left w:w="103" w:type="dxa"/>
            </w:tcMar>
          </w:tcPr>
          <w:p w:rsidR="00061F58" w:rsidRDefault="00061F58">
            <w:pPr>
              <w:spacing w:after="0"/>
            </w:pPr>
            <w:r>
              <w:rPr>
                <w:b/>
                <w:bCs/>
              </w:rPr>
              <w:t xml:space="preserve">Date of audit report: </w:t>
            </w:r>
            <w:r>
              <w:t>November</w:t>
            </w:r>
            <w:r w:rsidRPr="00D632C2">
              <w:t xml:space="preserve"> 2016</w:t>
            </w:r>
          </w:p>
          <w:p w:rsidR="00061F58" w:rsidRDefault="00061F58">
            <w:pPr>
              <w:spacing w:after="0"/>
            </w:pPr>
          </w:p>
        </w:tc>
      </w:tr>
      <w:tr w:rsidR="00061F58">
        <w:tc>
          <w:tcPr>
            <w:tcW w:w="9241" w:type="dxa"/>
            <w:gridSpan w:val="2"/>
            <w:tcMar>
              <w:left w:w="103" w:type="dxa"/>
            </w:tcMar>
          </w:tcPr>
          <w:p w:rsidR="00061F58" w:rsidRDefault="00061F58">
            <w:pPr>
              <w:spacing w:after="0"/>
              <w:rPr>
                <w:b/>
                <w:bCs/>
              </w:rPr>
            </w:pPr>
            <w:r>
              <w:rPr>
                <w:b/>
                <w:bCs/>
              </w:rPr>
              <w:t>Audit documents for upload to http://www.acb.org.uk/whatwedo/science/audit.aspx</w:t>
            </w:r>
          </w:p>
          <w:p w:rsidR="00061F58" w:rsidRDefault="00061F58">
            <w:pPr>
              <w:spacing w:after="0"/>
              <w:rPr>
                <w:i/>
                <w:iCs/>
              </w:rPr>
            </w:pPr>
            <w:r>
              <w:rPr>
                <w:i/>
                <w:iCs/>
              </w:rPr>
              <w:t>Please include as attachments with this Audit Summary form if authors and the organising committee would like information to be publicly accessible on the ACB website Audit section.</w:t>
            </w:r>
          </w:p>
          <w:p w:rsidR="00061F58" w:rsidRDefault="00061F58">
            <w:pPr>
              <w:spacing w:after="0"/>
              <w:rPr>
                <w:i/>
                <w:iCs/>
              </w:rPr>
            </w:pPr>
          </w:p>
          <w:p w:rsidR="00061F58" w:rsidRDefault="00061F58">
            <w:pPr>
              <w:spacing w:after="0"/>
              <w:rPr>
                <w:i/>
                <w:iCs/>
              </w:rPr>
            </w:pPr>
            <w:r w:rsidRPr="001D3B1D">
              <w:rPr>
                <w:i/>
                <w:iCs/>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8" o:title=""/>
                </v:shape>
                <o:OLEObject Type="Embed" ProgID="Word.Document.8" ShapeID="_x0000_i1025" DrawAspect="Icon" ObjectID="_1560857267" r:id="rId9">
                  <o:FieldCodes>\s</o:FieldCodes>
                </o:OLEObject>
              </w:object>
            </w:r>
            <w:r w:rsidRPr="001D3B1D">
              <w:rPr>
                <w:i/>
                <w:iCs/>
              </w:rPr>
              <w:object w:dxaOrig="1536" w:dyaOrig="994">
                <v:shape id="_x0000_i1026" type="#_x0000_t75" style="width:76.4pt;height:49.45pt" o:ole="">
                  <v:imagedata r:id="rId10" o:title=""/>
                </v:shape>
                <o:OLEObject Type="Embed" ProgID="PowerPoint.Show.8" ShapeID="_x0000_i1026" DrawAspect="Icon" ObjectID="_1560857268" r:id="rId11"/>
              </w:object>
            </w:r>
            <w:r w:rsidRPr="001D3B1D">
              <w:rPr>
                <w:i/>
                <w:iCs/>
              </w:rPr>
              <w:object w:dxaOrig="1536" w:dyaOrig="994">
                <v:shape id="_x0000_i1027" type="#_x0000_t75" style="width:76.4pt;height:49.45pt" o:ole="">
                  <v:imagedata r:id="rId12" o:title=""/>
                </v:shape>
                <o:OLEObject Type="Embed" ProgID="Word.Document.8" ShapeID="_x0000_i1027" DrawAspect="Icon" ObjectID="_1560857269" r:id="rId13">
                  <o:FieldCodes>\s</o:FieldCodes>
                </o:OLEObject>
              </w:object>
            </w:r>
          </w:p>
          <w:p w:rsidR="00061F58" w:rsidRDefault="00061F58">
            <w:pPr>
              <w:spacing w:after="0"/>
              <w:rPr>
                <w:i/>
                <w:iCs/>
              </w:rPr>
            </w:pPr>
          </w:p>
          <w:p w:rsidR="00061F58" w:rsidRDefault="00061F58" w:rsidP="00430FA7">
            <w:pPr>
              <w:spacing w:after="0"/>
              <w:rPr>
                <w:b/>
                <w:bCs/>
              </w:rPr>
            </w:pPr>
          </w:p>
        </w:tc>
      </w:tr>
    </w:tbl>
    <w:p w:rsidR="00061F58" w:rsidRDefault="00061F58"/>
    <w:sectPr w:rsidR="00061F58" w:rsidSect="00BF62EA">
      <w:pgSz w:w="11906" w:h="16838"/>
      <w:pgMar w:top="1276" w:right="1440" w:bottom="1440" w:left="1440"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iberation Sans">
    <w:altName w:val="Arial"/>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3DA6FD2"/>
    <w:name w:val="WW8Num2"/>
    <w:lvl w:ilvl="0">
      <w:start w:val="13"/>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
    <w:nsid w:val="0D830B00"/>
    <w:multiLevelType w:val="hybridMultilevel"/>
    <w:tmpl w:val="689A33C2"/>
    <w:lvl w:ilvl="0" w:tplc="F912D172">
      <w:start w:val="1"/>
      <w:numFmt w:val="bullet"/>
      <w:lvlText w:val=""/>
      <w:lvlJc w:val="left"/>
      <w:pPr>
        <w:tabs>
          <w:tab w:val="num" w:pos="720"/>
        </w:tabs>
        <w:ind w:left="720" w:hanging="360"/>
      </w:pPr>
      <w:rPr>
        <w:rFonts w:ascii="Wingdings" w:hAnsi="Wingdings" w:cs="Wingdings" w:hint="default"/>
      </w:rPr>
    </w:lvl>
    <w:lvl w:ilvl="1" w:tplc="A1BC314C">
      <w:start w:val="1"/>
      <w:numFmt w:val="bullet"/>
      <w:lvlText w:val=""/>
      <w:lvlJc w:val="left"/>
      <w:pPr>
        <w:tabs>
          <w:tab w:val="num" w:pos="1440"/>
        </w:tabs>
        <w:ind w:left="1440" w:hanging="360"/>
      </w:pPr>
      <w:rPr>
        <w:rFonts w:ascii="Wingdings" w:hAnsi="Wingdings" w:cs="Wingdings" w:hint="default"/>
      </w:rPr>
    </w:lvl>
    <w:lvl w:ilvl="2" w:tplc="A546EF0E">
      <w:start w:val="1"/>
      <w:numFmt w:val="bullet"/>
      <w:lvlText w:val=""/>
      <w:lvlJc w:val="left"/>
      <w:pPr>
        <w:tabs>
          <w:tab w:val="num" w:pos="2160"/>
        </w:tabs>
        <w:ind w:left="2160" w:hanging="360"/>
      </w:pPr>
      <w:rPr>
        <w:rFonts w:ascii="Wingdings" w:hAnsi="Wingdings" w:cs="Wingdings" w:hint="default"/>
      </w:rPr>
    </w:lvl>
    <w:lvl w:ilvl="3" w:tplc="A1FAA430">
      <w:start w:val="1"/>
      <w:numFmt w:val="bullet"/>
      <w:lvlText w:val=""/>
      <w:lvlJc w:val="left"/>
      <w:pPr>
        <w:tabs>
          <w:tab w:val="num" w:pos="2880"/>
        </w:tabs>
        <w:ind w:left="2880" w:hanging="360"/>
      </w:pPr>
      <w:rPr>
        <w:rFonts w:ascii="Wingdings" w:hAnsi="Wingdings" w:cs="Wingdings" w:hint="default"/>
      </w:rPr>
    </w:lvl>
    <w:lvl w:ilvl="4" w:tplc="48D0C6DE">
      <w:start w:val="1"/>
      <w:numFmt w:val="bullet"/>
      <w:lvlText w:val=""/>
      <w:lvlJc w:val="left"/>
      <w:pPr>
        <w:tabs>
          <w:tab w:val="num" w:pos="3600"/>
        </w:tabs>
        <w:ind w:left="3600" w:hanging="360"/>
      </w:pPr>
      <w:rPr>
        <w:rFonts w:ascii="Wingdings" w:hAnsi="Wingdings" w:cs="Wingdings" w:hint="default"/>
      </w:rPr>
    </w:lvl>
    <w:lvl w:ilvl="5" w:tplc="A574ECF6">
      <w:start w:val="1"/>
      <w:numFmt w:val="bullet"/>
      <w:lvlText w:val=""/>
      <w:lvlJc w:val="left"/>
      <w:pPr>
        <w:tabs>
          <w:tab w:val="num" w:pos="4320"/>
        </w:tabs>
        <w:ind w:left="4320" w:hanging="360"/>
      </w:pPr>
      <w:rPr>
        <w:rFonts w:ascii="Wingdings" w:hAnsi="Wingdings" w:cs="Wingdings" w:hint="default"/>
      </w:rPr>
    </w:lvl>
    <w:lvl w:ilvl="6" w:tplc="43626EA6">
      <w:start w:val="1"/>
      <w:numFmt w:val="bullet"/>
      <w:lvlText w:val=""/>
      <w:lvlJc w:val="left"/>
      <w:pPr>
        <w:tabs>
          <w:tab w:val="num" w:pos="5040"/>
        </w:tabs>
        <w:ind w:left="5040" w:hanging="360"/>
      </w:pPr>
      <w:rPr>
        <w:rFonts w:ascii="Wingdings" w:hAnsi="Wingdings" w:cs="Wingdings" w:hint="default"/>
      </w:rPr>
    </w:lvl>
    <w:lvl w:ilvl="7" w:tplc="479CADF2">
      <w:start w:val="1"/>
      <w:numFmt w:val="bullet"/>
      <w:lvlText w:val=""/>
      <w:lvlJc w:val="left"/>
      <w:pPr>
        <w:tabs>
          <w:tab w:val="num" w:pos="5760"/>
        </w:tabs>
        <w:ind w:left="5760" w:hanging="360"/>
      </w:pPr>
      <w:rPr>
        <w:rFonts w:ascii="Wingdings" w:hAnsi="Wingdings" w:cs="Wingdings" w:hint="default"/>
      </w:rPr>
    </w:lvl>
    <w:lvl w:ilvl="8" w:tplc="9A7E6DA6">
      <w:start w:val="1"/>
      <w:numFmt w:val="bullet"/>
      <w:lvlText w:val=""/>
      <w:lvlJc w:val="left"/>
      <w:pPr>
        <w:tabs>
          <w:tab w:val="num" w:pos="6480"/>
        </w:tabs>
        <w:ind w:left="6480" w:hanging="360"/>
      </w:pPr>
      <w:rPr>
        <w:rFonts w:ascii="Wingdings" w:hAnsi="Wingdings" w:cs="Wingdings" w:hint="default"/>
      </w:rPr>
    </w:lvl>
  </w:abstractNum>
  <w:abstractNum w:abstractNumId="2">
    <w:nsid w:val="321055BF"/>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422E1789"/>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85D"/>
    <w:rsid w:val="00057B31"/>
    <w:rsid w:val="00061F58"/>
    <w:rsid w:val="00100523"/>
    <w:rsid w:val="001D3B1D"/>
    <w:rsid w:val="002726BE"/>
    <w:rsid w:val="002A5586"/>
    <w:rsid w:val="002B27B1"/>
    <w:rsid w:val="0037682F"/>
    <w:rsid w:val="003F5E26"/>
    <w:rsid w:val="00430FA7"/>
    <w:rsid w:val="004A33B3"/>
    <w:rsid w:val="00514382"/>
    <w:rsid w:val="00521F97"/>
    <w:rsid w:val="005926A2"/>
    <w:rsid w:val="00675A7D"/>
    <w:rsid w:val="00916B26"/>
    <w:rsid w:val="00935844"/>
    <w:rsid w:val="009837D2"/>
    <w:rsid w:val="00A13C8F"/>
    <w:rsid w:val="00A213BB"/>
    <w:rsid w:val="00A55CFC"/>
    <w:rsid w:val="00A71321"/>
    <w:rsid w:val="00BF62EA"/>
    <w:rsid w:val="00C54C9A"/>
    <w:rsid w:val="00D32C53"/>
    <w:rsid w:val="00D5585D"/>
    <w:rsid w:val="00D632C2"/>
    <w:rsid w:val="00E440FB"/>
    <w:rsid w:val="00EC6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321"/>
    <w:pPr>
      <w:suppressAutoHyphens/>
      <w:spacing w:after="200"/>
    </w:pPr>
    <w:rPr>
      <w:rFonts w:cs="Calibri"/>
      <w:color w:val="00000A"/>
      <w:lang w:val="en-GB"/>
    </w:rPr>
  </w:style>
  <w:style w:type="paragraph" w:styleId="Heading1">
    <w:name w:val="heading 1"/>
    <w:basedOn w:val="Heading"/>
    <w:link w:val="Heading1Char"/>
    <w:uiPriority w:val="99"/>
    <w:qFormat/>
    <w:rsid w:val="00BF62EA"/>
    <w:pPr>
      <w:outlineLvl w:val="0"/>
    </w:pPr>
  </w:style>
  <w:style w:type="paragraph" w:styleId="Heading2">
    <w:name w:val="heading 2"/>
    <w:basedOn w:val="Heading"/>
    <w:link w:val="Heading2Char"/>
    <w:uiPriority w:val="99"/>
    <w:qFormat/>
    <w:rsid w:val="00BF62EA"/>
    <w:pPr>
      <w:outlineLvl w:val="1"/>
    </w:pPr>
  </w:style>
  <w:style w:type="paragraph" w:styleId="Heading3">
    <w:name w:val="heading 3"/>
    <w:basedOn w:val="Heading"/>
    <w:link w:val="Heading3Char"/>
    <w:uiPriority w:val="99"/>
    <w:qFormat/>
    <w:rsid w:val="00BF62EA"/>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Cambria"/>
      <w:b/>
      <w:bCs/>
      <w:color w:val="00000A"/>
      <w:kern w:val="32"/>
      <w:sz w:val="32"/>
      <w:szCs w:val="32"/>
      <w:lang w:val="en-GB"/>
    </w:rPr>
  </w:style>
  <w:style w:type="character" w:customStyle="1" w:styleId="Heading2Char">
    <w:name w:val="Heading 2 Char"/>
    <w:basedOn w:val="DefaultParagraphFont"/>
    <w:link w:val="Heading2"/>
    <w:uiPriority w:val="99"/>
    <w:semiHidden/>
    <w:locked/>
    <w:rPr>
      <w:rFonts w:ascii="Cambria" w:hAnsi="Cambria" w:cs="Cambria"/>
      <w:b/>
      <w:bCs/>
      <w:i/>
      <w:iCs/>
      <w:color w:val="00000A"/>
      <w:sz w:val="28"/>
      <w:szCs w:val="28"/>
      <w:lang w:val="en-GB"/>
    </w:rPr>
  </w:style>
  <w:style w:type="character" w:customStyle="1" w:styleId="Heading3Char">
    <w:name w:val="Heading 3 Char"/>
    <w:basedOn w:val="DefaultParagraphFont"/>
    <w:link w:val="Heading3"/>
    <w:uiPriority w:val="99"/>
    <w:semiHidden/>
    <w:locked/>
    <w:rPr>
      <w:rFonts w:ascii="Cambria" w:hAnsi="Cambria" w:cs="Cambria"/>
      <w:b/>
      <w:bCs/>
      <w:color w:val="00000A"/>
      <w:sz w:val="26"/>
      <w:szCs w:val="26"/>
      <w:lang w:val="en-GB"/>
    </w:rPr>
  </w:style>
  <w:style w:type="character" w:customStyle="1" w:styleId="BalloonTextChar">
    <w:name w:val="Balloon Text Char"/>
    <w:basedOn w:val="DefaultParagraphFont"/>
    <w:link w:val="BalloonText"/>
    <w:uiPriority w:val="99"/>
    <w:semiHidden/>
    <w:locked/>
    <w:rsid w:val="00A71321"/>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A71321"/>
    <w:rPr>
      <w:rFonts w:ascii="Times New Roman" w:hAnsi="Times New Roman" w:cs="Times New Roman"/>
      <w:sz w:val="2"/>
      <w:szCs w:val="2"/>
      <w:lang w:val="en-GB"/>
    </w:rPr>
  </w:style>
  <w:style w:type="character" w:customStyle="1" w:styleId="HeaderChar">
    <w:name w:val="Header Char"/>
    <w:basedOn w:val="DefaultParagraphFont"/>
    <w:link w:val="Header"/>
    <w:uiPriority w:val="99"/>
    <w:locked/>
    <w:rsid w:val="00A71321"/>
    <w:rPr>
      <w:sz w:val="22"/>
      <w:szCs w:val="22"/>
      <w:lang w:eastAsia="en-US"/>
    </w:rPr>
  </w:style>
  <w:style w:type="character" w:customStyle="1" w:styleId="FooterChar">
    <w:name w:val="Footer Char"/>
    <w:basedOn w:val="DefaultParagraphFont"/>
    <w:link w:val="Footer"/>
    <w:uiPriority w:val="99"/>
    <w:locked/>
    <w:rsid w:val="00A71321"/>
    <w:rPr>
      <w:sz w:val="22"/>
      <w:szCs w:val="22"/>
      <w:lang w:eastAsia="en-US"/>
    </w:rPr>
  </w:style>
  <w:style w:type="paragraph" w:customStyle="1" w:styleId="Heading">
    <w:name w:val="Heading"/>
    <w:basedOn w:val="Normal"/>
    <w:next w:val="TextBody"/>
    <w:uiPriority w:val="99"/>
    <w:rsid w:val="00BF62EA"/>
    <w:pPr>
      <w:keepNext/>
      <w:spacing w:before="240" w:after="120"/>
    </w:pPr>
    <w:rPr>
      <w:rFonts w:ascii="Liberation Sans" w:eastAsia="Microsoft YaHei" w:hAnsi="Liberation Sans" w:cs="Liberation Sans"/>
      <w:sz w:val="28"/>
      <w:szCs w:val="28"/>
    </w:rPr>
  </w:style>
  <w:style w:type="paragraph" w:customStyle="1" w:styleId="TextBody">
    <w:name w:val="Text Body"/>
    <w:basedOn w:val="Normal"/>
    <w:uiPriority w:val="99"/>
    <w:rsid w:val="00BF62EA"/>
    <w:pPr>
      <w:spacing w:after="140" w:line="288" w:lineRule="auto"/>
    </w:pPr>
  </w:style>
  <w:style w:type="paragraph" w:styleId="List">
    <w:name w:val="List"/>
    <w:basedOn w:val="TextBody"/>
    <w:uiPriority w:val="99"/>
    <w:rsid w:val="00BF62EA"/>
  </w:style>
  <w:style w:type="paragraph" w:styleId="Caption">
    <w:name w:val="caption"/>
    <w:basedOn w:val="Normal"/>
    <w:uiPriority w:val="99"/>
    <w:qFormat/>
    <w:rsid w:val="00BF62EA"/>
    <w:pPr>
      <w:suppressLineNumbers/>
      <w:spacing w:before="120" w:after="120"/>
    </w:pPr>
    <w:rPr>
      <w:i/>
      <w:iCs/>
      <w:sz w:val="24"/>
      <w:szCs w:val="24"/>
    </w:rPr>
  </w:style>
  <w:style w:type="paragraph" w:customStyle="1" w:styleId="Index">
    <w:name w:val="Index"/>
    <w:basedOn w:val="Normal"/>
    <w:uiPriority w:val="99"/>
    <w:rsid w:val="00BF62EA"/>
    <w:pPr>
      <w:suppressLineNumbers/>
    </w:pPr>
  </w:style>
  <w:style w:type="paragraph" w:styleId="BalloonText">
    <w:name w:val="Balloon Text"/>
    <w:basedOn w:val="Normal"/>
    <w:link w:val="BalloonTextChar"/>
    <w:uiPriority w:val="99"/>
    <w:semiHidden/>
    <w:rsid w:val="00A71321"/>
    <w:pPr>
      <w:spacing w:after="0"/>
    </w:pPr>
    <w:rPr>
      <w:rFonts w:ascii="Tahoma" w:hAnsi="Tahoma" w:cs="Tahoma"/>
      <w:sz w:val="16"/>
      <w:szCs w:val="16"/>
      <w:lang w:val="en-US" w:eastAsia="en-GB"/>
    </w:rPr>
  </w:style>
  <w:style w:type="character" w:customStyle="1" w:styleId="BalloonTextChar1">
    <w:name w:val="Balloon Text Char1"/>
    <w:basedOn w:val="DefaultParagraphFont"/>
    <w:uiPriority w:val="99"/>
    <w:semiHidden/>
    <w:locked/>
    <w:rPr>
      <w:rFonts w:ascii="Times New Roman" w:hAnsi="Times New Roman" w:cs="Times New Roman"/>
      <w:color w:val="00000A"/>
      <w:sz w:val="2"/>
      <w:szCs w:val="2"/>
      <w:lang w:val="en-GB"/>
    </w:rPr>
  </w:style>
  <w:style w:type="paragraph" w:styleId="DocumentMap">
    <w:name w:val="Document Map"/>
    <w:basedOn w:val="Normal"/>
    <w:link w:val="DocumentMapChar"/>
    <w:uiPriority w:val="99"/>
    <w:semiHidden/>
    <w:rsid w:val="00A71321"/>
    <w:pPr>
      <w:shd w:val="clear" w:color="auto" w:fill="000080"/>
    </w:pPr>
    <w:rPr>
      <w:rFonts w:ascii="Tahoma" w:hAnsi="Tahoma" w:cs="Tahoma"/>
      <w:sz w:val="20"/>
      <w:szCs w:val="20"/>
    </w:rPr>
  </w:style>
  <w:style w:type="character" w:customStyle="1" w:styleId="DocumentMapChar1">
    <w:name w:val="Document Map Char1"/>
    <w:basedOn w:val="DefaultParagraphFont"/>
    <w:uiPriority w:val="99"/>
    <w:semiHidden/>
    <w:locked/>
    <w:rPr>
      <w:rFonts w:ascii="Times New Roman" w:hAnsi="Times New Roman" w:cs="Times New Roman"/>
      <w:color w:val="00000A"/>
      <w:sz w:val="2"/>
      <w:szCs w:val="2"/>
      <w:lang w:val="en-GB"/>
    </w:rPr>
  </w:style>
  <w:style w:type="paragraph" w:styleId="Header">
    <w:name w:val="header"/>
    <w:basedOn w:val="Normal"/>
    <w:link w:val="HeaderChar"/>
    <w:uiPriority w:val="99"/>
    <w:rsid w:val="00A71321"/>
    <w:pPr>
      <w:tabs>
        <w:tab w:val="center" w:pos="4513"/>
        <w:tab w:val="right" w:pos="9026"/>
      </w:tabs>
    </w:pPr>
    <w:rPr>
      <w:lang w:val="en-US"/>
    </w:rPr>
  </w:style>
  <w:style w:type="character" w:customStyle="1" w:styleId="HeaderChar1">
    <w:name w:val="Header Char1"/>
    <w:basedOn w:val="DefaultParagraphFont"/>
    <w:uiPriority w:val="99"/>
    <w:semiHidden/>
    <w:locked/>
    <w:rPr>
      <w:color w:val="00000A"/>
      <w:lang w:val="en-GB"/>
    </w:rPr>
  </w:style>
  <w:style w:type="paragraph" w:styleId="Footer">
    <w:name w:val="footer"/>
    <w:basedOn w:val="Normal"/>
    <w:link w:val="FooterChar"/>
    <w:uiPriority w:val="99"/>
    <w:rsid w:val="00A71321"/>
    <w:pPr>
      <w:tabs>
        <w:tab w:val="center" w:pos="4513"/>
        <w:tab w:val="right" w:pos="9026"/>
      </w:tabs>
    </w:pPr>
    <w:rPr>
      <w:lang w:val="en-US"/>
    </w:rPr>
  </w:style>
  <w:style w:type="character" w:customStyle="1" w:styleId="FooterChar1">
    <w:name w:val="Footer Char1"/>
    <w:basedOn w:val="DefaultParagraphFont"/>
    <w:uiPriority w:val="99"/>
    <w:semiHidden/>
    <w:locked/>
    <w:rPr>
      <w:color w:val="00000A"/>
      <w:lang w:val="en-GB"/>
    </w:rPr>
  </w:style>
  <w:style w:type="paragraph" w:customStyle="1" w:styleId="Quotations">
    <w:name w:val="Quotations"/>
    <w:basedOn w:val="Normal"/>
    <w:uiPriority w:val="99"/>
    <w:rsid w:val="00BF62EA"/>
  </w:style>
  <w:style w:type="paragraph" w:styleId="Title">
    <w:name w:val="Title"/>
    <w:basedOn w:val="Heading"/>
    <w:link w:val="TitleChar"/>
    <w:uiPriority w:val="99"/>
    <w:qFormat/>
    <w:rsid w:val="00BF62EA"/>
  </w:style>
  <w:style w:type="character" w:customStyle="1" w:styleId="TitleChar">
    <w:name w:val="Title Char"/>
    <w:basedOn w:val="DefaultParagraphFont"/>
    <w:link w:val="Title"/>
    <w:uiPriority w:val="99"/>
    <w:locked/>
    <w:rPr>
      <w:rFonts w:ascii="Cambria" w:hAnsi="Cambria" w:cs="Cambria"/>
      <w:b/>
      <w:bCs/>
      <w:color w:val="00000A"/>
      <w:kern w:val="28"/>
      <w:sz w:val="32"/>
      <w:szCs w:val="32"/>
      <w:lang w:val="en-GB"/>
    </w:rPr>
  </w:style>
  <w:style w:type="paragraph" w:styleId="Subtitle">
    <w:name w:val="Subtitle"/>
    <w:basedOn w:val="Heading"/>
    <w:link w:val="SubtitleChar"/>
    <w:uiPriority w:val="99"/>
    <w:qFormat/>
    <w:rsid w:val="00BF62EA"/>
  </w:style>
  <w:style w:type="character" w:customStyle="1" w:styleId="SubtitleChar">
    <w:name w:val="Subtitle Char"/>
    <w:basedOn w:val="DefaultParagraphFont"/>
    <w:link w:val="Subtitle"/>
    <w:uiPriority w:val="99"/>
    <w:locked/>
    <w:rPr>
      <w:rFonts w:ascii="Cambria" w:hAnsi="Cambria" w:cs="Cambria"/>
      <w:color w:val="00000A"/>
      <w:sz w:val="24"/>
      <w:szCs w:val="24"/>
      <w:lang w:val="en-GB"/>
    </w:rPr>
  </w:style>
  <w:style w:type="table" w:styleId="TableGrid">
    <w:name w:val="Table Grid"/>
    <w:basedOn w:val="TableNormal"/>
    <w:uiPriority w:val="99"/>
    <w:rsid w:val="00A71321"/>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321"/>
    <w:pPr>
      <w:suppressAutoHyphens/>
      <w:spacing w:after="200"/>
    </w:pPr>
    <w:rPr>
      <w:rFonts w:cs="Calibri"/>
      <w:color w:val="00000A"/>
      <w:lang w:val="en-GB"/>
    </w:rPr>
  </w:style>
  <w:style w:type="paragraph" w:styleId="Heading1">
    <w:name w:val="heading 1"/>
    <w:basedOn w:val="Heading"/>
    <w:link w:val="Heading1Char"/>
    <w:uiPriority w:val="99"/>
    <w:qFormat/>
    <w:rsid w:val="00BF62EA"/>
    <w:pPr>
      <w:outlineLvl w:val="0"/>
    </w:pPr>
  </w:style>
  <w:style w:type="paragraph" w:styleId="Heading2">
    <w:name w:val="heading 2"/>
    <w:basedOn w:val="Heading"/>
    <w:link w:val="Heading2Char"/>
    <w:uiPriority w:val="99"/>
    <w:qFormat/>
    <w:rsid w:val="00BF62EA"/>
    <w:pPr>
      <w:outlineLvl w:val="1"/>
    </w:pPr>
  </w:style>
  <w:style w:type="paragraph" w:styleId="Heading3">
    <w:name w:val="heading 3"/>
    <w:basedOn w:val="Heading"/>
    <w:link w:val="Heading3Char"/>
    <w:uiPriority w:val="99"/>
    <w:qFormat/>
    <w:rsid w:val="00BF62EA"/>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Cambria"/>
      <w:b/>
      <w:bCs/>
      <w:color w:val="00000A"/>
      <w:kern w:val="32"/>
      <w:sz w:val="32"/>
      <w:szCs w:val="32"/>
      <w:lang w:val="en-GB"/>
    </w:rPr>
  </w:style>
  <w:style w:type="character" w:customStyle="1" w:styleId="Heading2Char">
    <w:name w:val="Heading 2 Char"/>
    <w:basedOn w:val="DefaultParagraphFont"/>
    <w:link w:val="Heading2"/>
    <w:uiPriority w:val="99"/>
    <w:semiHidden/>
    <w:locked/>
    <w:rPr>
      <w:rFonts w:ascii="Cambria" w:hAnsi="Cambria" w:cs="Cambria"/>
      <w:b/>
      <w:bCs/>
      <w:i/>
      <w:iCs/>
      <w:color w:val="00000A"/>
      <w:sz w:val="28"/>
      <w:szCs w:val="28"/>
      <w:lang w:val="en-GB"/>
    </w:rPr>
  </w:style>
  <w:style w:type="character" w:customStyle="1" w:styleId="Heading3Char">
    <w:name w:val="Heading 3 Char"/>
    <w:basedOn w:val="DefaultParagraphFont"/>
    <w:link w:val="Heading3"/>
    <w:uiPriority w:val="99"/>
    <w:semiHidden/>
    <w:locked/>
    <w:rPr>
      <w:rFonts w:ascii="Cambria" w:hAnsi="Cambria" w:cs="Cambria"/>
      <w:b/>
      <w:bCs/>
      <w:color w:val="00000A"/>
      <w:sz w:val="26"/>
      <w:szCs w:val="26"/>
      <w:lang w:val="en-GB"/>
    </w:rPr>
  </w:style>
  <w:style w:type="character" w:customStyle="1" w:styleId="BalloonTextChar">
    <w:name w:val="Balloon Text Char"/>
    <w:basedOn w:val="DefaultParagraphFont"/>
    <w:link w:val="BalloonText"/>
    <w:uiPriority w:val="99"/>
    <w:semiHidden/>
    <w:locked/>
    <w:rsid w:val="00A71321"/>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A71321"/>
    <w:rPr>
      <w:rFonts w:ascii="Times New Roman" w:hAnsi="Times New Roman" w:cs="Times New Roman"/>
      <w:sz w:val="2"/>
      <w:szCs w:val="2"/>
      <w:lang w:val="en-GB"/>
    </w:rPr>
  </w:style>
  <w:style w:type="character" w:customStyle="1" w:styleId="HeaderChar">
    <w:name w:val="Header Char"/>
    <w:basedOn w:val="DefaultParagraphFont"/>
    <w:link w:val="Header"/>
    <w:uiPriority w:val="99"/>
    <w:locked/>
    <w:rsid w:val="00A71321"/>
    <w:rPr>
      <w:sz w:val="22"/>
      <w:szCs w:val="22"/>
      <w:lang w:eastAsia="en-US"/>
    </w:rPr>
  </w:style>
  <w:style w:type="character" w:customStyle="1" w:styleId="FooterChar">
    <w:name w:val="Footer Char"/>
    <w:basedOn w:val="DefaultParagraphFont"/>
    <w:link w:val="Footer"/>
    <w:uiPriority w:val="99"/>
    <w:locked/>
    <w:rsid w:val="00A71321"/>
    <w:rPr>
      <w:sz w:val="22"/>
      <w:szCs w:val="22"/>
      <w:lang w:eastAsia="en-US"/>
    </w:rPr>
  </w:style>
  <w:style w:type="paragraph" w:customStyle="1" w:styleId="Heading">
    <w:name w:val="Heading"/>
    <w:basedOn w:val="Normal"/>
    <w:next w:val="TextBody"/>
    <w:uiPriority w:val="99"/>
    <w:rsid w:val="00BF62EA"/>
    <w:pPr>
      <w:keepNext/>
      <w:spacing w:before="240" w:after="120"/>
    </w:pPr>
    <w:rPr>
      <w:rFonts w:ascii="Liberation Sans" w:eastAsia="Microsoft YaHei" w:hAnsi="Liberation Sans" w:cs="Liberation Sans"/>
      <w:sz w:val="28"/>
      <w:szCs w:val="28"/>
    </w:rPr>
  </w:style>
  <w:style w:type="paragraph" w:customStyle="1" w:styleId="TextBody">
    <w:name w:val="Text Body"/>
    <w:basedOn w:val="Normal"/>
    <w:uiPriority w:val="99"/>
    <w:rsid w:val="00BF62EA"/>
    <w:pPr>
      <w:spacing w:after="140" w:line="288" w:lineRule="auto"/>
    </w:pPr>
  </w:style>
  <w:style w:type="paragraph" w:styleId="List">
    <w:name w:val="List"/>
    <w:basedOn w:val="TextBody"/>
    <w:uiPriority w:val="99"/>
    <w:rsid w:val="00BF62EA"/>
  </w:style>
  <w:style w:type="paragraph" w:styleId="Caption">
    <w:name w:val="caption"/>
    <w:basedOn w:val="Normal"/>
    <w:uiPriority w:val="99"/>
    <w:qFormat/>
    <w:rsid w:val="00BF62EA"/>
    <w:pPr>
      <w:suppressLineNumbers/>
      <w:spacing w:before="120" w:after="120"/>
    </w:pPr>
    <w:rPr>
      <w:i/>
      <w:iCs/>
      <w:sz w:val="24"/>
      <w:szCs w:val="24"/>
    </w:rPr>
  </w:style>
  <w:style w:type="paragraph" w:customStyle="1" w:styleId="Index">
    <w:name w:val="Index"/>
    <w:basedOn w:val="Normal"/>
    <w:uiPriority w:val="99"/>
    <w:rsid w:val="00BF62EA"/>
    <w:pPr>
      <w:suppressLineNumbers/>
    </w:pPr>
  </w:style>
  <w:style w:type="paragraph" w:styleId="BalloonText">
    <w:name w:val="Balloon Text"/>
    <w:basedOn w:val="Normal"/>
    <w:link w:val="BalloonTextChar"/>
    <w:uiPriority w:val="99"/>
    <w:semiHidden/>
    <w:rsid w:val="00A71321"/>
    <w:pPr>
      <w:spacing w:after="0"/>
    </w:pPr>
    <w:rPr>
      <w:rFonts w:ascii="Tahoma" w:hAnsi="Tahoma" w:cs="Tahoma"/>
      <w:sz w:val="16"/>
      <w:szCs w:val="16"/>
      <w:lang w:val="en-US" w:eastAsia="en-GB"/>
    </w:rPr>
  </w:style>
  <w:style w:type="character" w:customStyle="1" w:styleId="BalloonTextChar1">
    <w:name w:val="Balloon Text Char1"/>
    <w:basedOn w:val="DefaultParagraphFont"/>
    <w:uiPriority w:val="99"/>
    <w:semiHidden/>
    <w:locked/>
    <w:rPr>
      <w:rFonts w:ascii="Times New Roman" w:hAnsi="Times New Roman" w:cs="Times New Roman"/>
      <w:color w:val="00000A"/>
      <w:sz w:val="2"/>
      <w:szCs w:val="2"/>
      <w:lang w:val="en-GB"/>
    </w:rPr>
  </w:style>
  <w:style w:type="paragraph" w:styleId="DocumentMap">
    <w:name w:val="Document Map"/>
    <w:basedOn w:val="Normal"/>
    <w:link w:val="DocumentMapChar"/>
    <w:uiPriority w:val="99"/>
    <w:semiHidden/>
    <w:rsid w:val="00A71321"/>
    <w:pPr>
      <w:shd w:val="clear" w:color="auto" w:fill="000080"/>
    </w:pPr>
    <w:rPr>
      <w:rFonts w:ascii="Tahoma" w:hAnsi="Tahoma" w:cs="Tahoma"/>
      <w:sz w:val="20"/>
      <w:szCs w:val="20"/>
    </w:rPr>
  </w:style>
  <w:style w:type="character" w:customStyle="1" w:styleId="DocumentMapChar1">
    <w:name w:val="Document Map Char1"/>
    <w:basedOn w:val="DefaultParagraphFont"/>
    <w:uiPriority w:val="99"/>
    <w:semiHidden/>
    <w:locked/>
    <w:rPr>
      <w:rFonts w:ascii="Times New Roman" w:hAnsi="Times New Roman" w:cs="Times New Roman"/>
      <w:color w:val="00000A"/>
      <w:sz w:val="2"/>
      <w:szCs w:val="2"/>
      <w:lang w:val="en-GB"/>
    </w:rPr>
  </w:style>
  <w:style w:type="paragraph" w:styleId="Header">
    <w:name w:val="header"/>
    <w:basedOn w:val="Normal"/>
    <w:link w:val="HeaderChar"/>
    <w:uiPriority w:val="99"/>
    <w:rsid w:val="00A71321"/>
    <w:pPr>
      <w:tabs>
        <w:tab w:val="center" w:pos="4513"/>
        <w:tab w:val="right" w:pos="9026"/>
      </w:tabs>
    </w:pPr>
    <w:rPr>
      <w:lang w:val="en-US"/>
    </w:rPr>
  </w:style>
  <w:style w:type="character" w:customStyle="1" w:styleId="HeaderChar1">
    <w:name w:val="Header Char1"/>
    <w:basedOn w:val="DefaultParagraphFont"/>
    <w:uiPriority w:val="99"/>
    <w:semiHidden/>
    <w:locked/>
    <w:rPr>
      <w:color w:val="00000A"/>
      <w:lang w:val="en-GB"/>
    </w:rPr>
  </w:style>
  <w:style w:type="paragraph" w:styleId="Footer">
    <w:name w:val="footer"/>
    <w:basedOn w:val="Normal"/>
    <w:link w:val="FooterChar"/>
    <w:uiPriority w:val="99"/>
    <w:rsid w:val="00A71321"/>
    <w:pPr>
      <w:tabs>
        <w:tab w:val="center" w:pos="4513"/>
        <w:tab w:val="right" w:pos="9026"/>
      </w:tabs>
    </w:pPr>
    <w:rPr>
      <w:lang w:val="en-US"/>
    </w:rPr>
  </w:style>
  <w:style w:type="character" w:customStyle="1" w:styleId="FooterChar1">
    <w:name w:val="Footer Char1"/>
    <w:basedOn w:val="DefaultParagraphFont"/>
    <w:uiPriority w:val="99"/>
    <w:semiHidden/>
    <w:locked/>
    <w:rPr>
      <w:color w:val="00000A"/>
      <w:lang w:val="en-GB"/>
    </w:rPr>
  </w:style>
  <w:style w:type="paragraph" w:customStyle="1" w:styleId="Quotations">
    <w:name w:val="Quotations"/>
    <w:basedOn w:val="Normal"/>
    <w:uiPriority w:val="99"/>
    <w:rsid w:val="00BF62EA"/>
  </w:style>
  <w:style w:type="paragraph" w:styleId="Title">
    <w:name w:val="Title"/>
    <w:basedOn w:val="Heading"/>
    <w:link w:val="TitleChar"/>
    <w:uiPriority w:val="99"/>
    <w:qFormat/>
    <w:rsid w:val="00BF62EA"/>
  </w:style>
  <w:style w:type="character" w:customStyle="1" w:styleId="TitleChar">
    <w:name w:val="Title Char"/>
    <w:basedOn w:val="DefaultParagraphFont"/>
    <w:link w:val="Title"/>
    <w:uiPriority w:val="99"/>
    <w:locked/>
    <w:rPr>
      <w:rFonts w:ascii="Cambria" w:hAnsi="Cambria" w:cs="Cambria"/>
      <w:b/>
      <w:bCs/>
      <w:color w:val="00000A"/>
      <w:kern w:val="28"/>
      <w:sz w:val="32"/>
      <w:szCs w:val="32"/>
      <w:lang w:val="en-GB"/>
    </w:rPr>
  </w:style>
  <w:style w:type="paragraph" w:styleId="Subtitle">
    <w:name w:val="Subtitle"/>
    <w:basedOn w:val="Heading"/>
    <w:link w:val="SubtitleChar"/>
    <w:uiPriority w:val="99"/>
    <w:qFormat/>
    <w:rsid w:val="00BF62EA"/>
  </w:style>
  <w:style w:type="character" w:customStyle="1" w:styleId="SubtitleChar">
    <w:name w:val="Subtitle Char"/>
    <w:basedOn w:val="DefaultParagraphFont"/>
    <w:link w:val="Subtitle"/>
    <w:uiPriority w:val="99"/>
    <w:locked/>
    <w:rPr>
      <w:rFonts w:ascii="Cambria" w:hAnsi="Cambria" w:cs="Cambria"/>
      <w:color w:val="00000A"/>
      <w:sz w:val="24"/>
      <w:szCs w:val="24"/>
      <w:lang w:val="en-GB"/>
    </w:rPr>
  </w:style>
  <w:style w:type="table" w:styleId="TableGrid">
    <w:name w:val="Table Grid"/>
    <w:basedOn w:val="TableNormal"/>
    <w:uiPriority w:val="99"/>
    <w:rsid w:val="00A71321"/>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9980207">
      <w:marLeft w:val="0"/>
      <w:marRight w:val="0"/>
      <w:marTop w:val="0"/>
      <w:marBottom w:val="0"/>
      <w:divBdr>
        <w:top w:val="none" w:sz="0" w:space="0" w:color="auto"/>
        <w:left w:val="none" w:sz="0" w:space="0" w:color="auto"/>
        <w:bottom w:val="none" w:sz="0" w:space="0" w:color="auto"/>
        <w:right w:val="none" w:sz="0" w:space="0" w:color="auto"/>
      </w:divBdr>
      <w:divsChild>
        <w:div w:id="1779980208">
          <w:marLeft w:val="0"/>
          <w:marRight w:val="0"/>
          <w:marTop w:val="0"/>
          <w:marBottom w:val="0"/>
          <w:divBdr>
            <w:top w:val="none" w:sz="0" w:space="0" w:color="auto"/>
            <w:left w:val="none" w:sz="0" w:space="0" w:color="auto"/>
            <w:bottom w:val="none" w:sz="0" w:space="0" w:color="auto"/>
            <w:right w:val="none" w:sz="0" w:space="0" w:color="auto"/>
          </w:divBdr>
          <w:divsChild>
            <w:div w:id="1779980209">
              <w:marLeft w:val="0"/>
              <w:marRight w:val="0"/>
              <w:marTop w:val="0"/>
              <w:marBottom w:val="0"/>
              <w:divBdr>
                <w:top w:val="none" w:sz="0" w:space="0" w:color="auto"/>
                <w:left w:val="none" w:sz="0" w:space="0" w:color="auto"/>
                <w:bottom w:val="none" w:sz="0" w:space="0" w:color="auto"/>
                <w:right w:val="none" w:sz="0" w:space="0" w:color="auto"/>
              </w:divBdr>
            </w:div>
            <w:div w:id="1779980210">
              <w:marLeft w:val="0"/>
              <w:marRight w:val="0"/>
              <w:marTop w:val="0"/>
              <w:marBottom w:val="0"/>
              <w:divBdr>
                <w:top w:val="none" w:sz="0" w:space="0" w:color="auto"/>
                <w:left w:val="none" w:sz="0" w:space="0" w:color="auto"/>
                <w:bottom w:val="none" w:sz="0" w:space="0" w:color="auto"/>
                <w:right w:val="none" w:sz="0" w:space="0" w:color="auto"/>
              </w:divBdr>
            </w:div>
            <w:div w:id="1779980211">
              <w:marLeft w:val="0"/>
              <w:marRight w:val="0"/>
              <w:marTop w:val="0"/>
              <w:marBottom w:val="0"/>
              <w:divBdr>
                <w:top w:val="none" w:sz="0" w:space="0" w:color="auto"/>
                <w:left w:val="none" w:sz="0" w:space="0" w:color="auto"/>
                <w:bottom w:val="none" w:sz="0" w:space="0" w:color="auto"/>
                <w:right w:val="none" w:sz="0" w:space="0" w:color="auto"/>
              </w:divBdr>
            </w:div>
            <w:div w:id="177998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Microsoft_Word_97_-_2003_Document3.doc"/><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Microsoft_PowerPoint_97-2003_Presentation2.ppt"/><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Microsoft_Word_97_-_2003_Document1.doc"/><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648</Words>
  <Characters>3695</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Audit Template</vt:lpstr>
    </vt:vector>
  </TitlesOfParts>
  <Company>BCH NHS Trust</Company>
  <LinksUpToDate>false</LinksUpToDate>
  <CharactersWithSpaces>4335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Template</dc:title>
  <dc:creator>M.Bignell</dc:creator>
  <cp:lastModifiedBy>Craig McKibbin</cp:lastModifiedBy>
  <cp:revision>2</cp:revision>
  <cp:lastPrinted>2014-09-17T17:37:00Z</cp:lastPrinted>
  <dcterms:created xsi:type="dcterms:W3CDTF">2017-07-06T13:41:00Z</dcterms:created>
  <dcterms:modified xsi:type="dcterms:W3CDTF">2017-07-06T13:41:00Z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BCH NHS Trust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