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09DFA" w14:textId="0A83C1CE" w:rsidR="00FB2B71" w:rsidRDefault="008C3017" w:rsidP="00067E3B">
      <w:pPr>
        <w:spacing w:after="0"/>
        <w:outlineLvl w:val="0"/>
        <w:rPr>
          <w:b/>
          <w:bCs/>
          <w:sz w:val="36"/>
          <w:szCs w:val="36"/>
        </w:rPr>
      </w:pPr>
      <w:bookmarkStart w:id="0" w:name="_GoBack"/>
      <w:bookmarkEnd w:id="0"/>
      <w:r>
        <w:rPr>
          <w:noProof/>
          <w:lang w:eastAsia="en-GB"/>
        </w:rPr>
        <w:drawing>
          <wp:anchor distT="0" distB="0" distL="114300" distR="114300" simplePos="0" relativeHeight="251657216" behindDoc="0" locked="0" layoutInCell="1" allowOverlap="1" wp14:anchorId="3BB20294" wp14:editId="37DF3F14">
            <wp:simplePos x="0" y="0"/>
            <wp:positionH relativeFrom="column">
              <wp:posOffset>180975</wp:posOffset>
            </wp:positionH>
            <wp:positionV relativeFrom="paragraph">
              <wp:posOffset>-476885</wp:posOffset>
            </wp:positionV>
            <wp:extent cx="3057525" cy="847725"/>
            <wp:effectExtent l="0" t="0" r="9525" b="9525"/>
            <wp:wrapNone/>
            <wp:docPr id="2" name="Picture 5" descr="RC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CPa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847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3719CD25" wp14:editId="541B2514">
            <wp:simplePos x="0" y="0"/>
            <wp:positionH relativeFrom="margin">
              <wp:posOffset>-76200</wp:posOffset>
            </wp:positionH>
            <wp:positionV relativeFrom="margin">
              <wp:posOffset>-474345</wp:posOffset>
            </wp:positionV>
            <wp:extent cx="2600325" cy="864870"/>
            <wp:effectExtent l="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864870"/>
                    </a:xfrm>
                    <a:prstGeom prst="rect">
                      <a:avLst/>
                    </a:prstGeom>
                    <a:noFill/>
                  </pic:spPr>
                </pic:pic>
              </a:graphicData>
            </a:graphic>
            <wp14:sizeRelH relativeFrom="page">
              <wp14:pctWidth>0</wp14:pctWidth>
            </wp14:sizeRelH>
            <wp14:sizeRelV relativeFrom="page">
              <wp14:pctHeight>0</wp14:pctHeight>
            </wp14:sizeRelV>
          </wp:anchor>
        </w:drawing>
      </w:r>
    </w:p>
    <w:p w14:paraId="511980B2" w14:textId="77777777" w:rsidR="00FB2B71" w:rsidRPr="00067E3B" w:rsidRDefault="00FB2B71" w:rsidP="00067E3B">
      <w:pPr>
        <w:spacing w:after="240"/>
        <w:jc w:val="center"/>
        <w:outlineLvl w:val="0"/>
        <w:rPr>
          <w:b/>
          <w:bCs/>
          <w:sz w:val="16"/>
          <w:szCs w:val="16"/>
        </w:rPr>
      </w:pPr>
    </w:p>
    <w:p w14:paraId="5A6B16B0" w14:textId="77777777" w:rsidR="00FB2B71" w:rsidRPr="00BC7ADD" w:rsidRDefault="00FB2B71" w:rsidP="008C3017">
      <w:pPr>
        <w:spacing w:after="240"/>
        <w:outlineLvl w:val="0"/>
        <w:rPr>
          <w:b/>
          <w:bCs/>
          <w:sz w:val="36"/>
          <w:szCs w:val="36"/>
        </w:rPr>
      </w:pPr>
      <w:r w:rsidRPr="00BC7ADD">
        <w:rPr>
          <w:b/>
          <w:bCs/>
          <w:sz w:val="36"/>
          <w:szCs w:val="36"/>
        </w:rPr>
        <w:t>Audit Templa</w:t>
      </w:r>
      <w:r>
        <w:rPr>
          <w:b/>
          <w:bCs/>
          <w:sz w:val="36"/>
          <w:szCs w:val="36"/>
        </w:rPr>
        <w:t>t</w:t>
      </w:r>
      <w:r w:rsidRPr="00BC7ADD">
        <w:rPr>
          <w:b/>
          <w:bCs/>
          <w:sz w:val="36"/>
          <w:szCs w:val="36"/>
        </w:rPr>
        <w:t>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0"/>
        <w:gridCol w:w="4622"/>
      </w:tblGrid>
      <w:tr w:rsidR="00FB2B71" w:rsidRPr="00BC7ADD" w14:paraId="41A83CB8" w14:textId="77777777">
        <w:tc>
          <w:tcPr>
            <w:tcW w:w="9242" w:type="dxa"/>
            <w:gridSpan w:val="2"/>
          </w:tcPr>
          <w:p w14:paraId="2DD57E4A" w14:textId="33E4E4E2" w:rsidR="00FE30FC" w:rsidRDefault="00FB2B71" w:rsidP="00BC7ADD">
            <w:pPr>
              <w:spacing w:after="0"/>
              <w:rPr>
                <w:b/>
                <w:bCs/>
              </w:rPr>
            </w:pPr>
            <w:r w:rsidRPr="00BC7ADD">
              <w:rPr>
                <w:b/>
                <w:bCs/>
              </w:rPr>
              <w:t>Audit Title:</w:t>
            </w:r>
          </w:p>
          <w:p w14:paraId="6F2D7D41" w14:textId="3162561D" w:rsidR="00FE30FC" w:rsidRPr="00FE30FC" w:rsidRDefault="00FE30FC" w:rsidP="00BC7ADD">
            <w:pPr>
              <w:spacing w:after="0"/>
              <w:rPr>
                <w:bCs/>
                <w:sz w:val="24"/>
                <w:szCs w:val="24"/>
              </w:rPr>
            </w:pPr>
            <w:r w:rsidRPr="00FE30FC">
              <w:rPr>
                <w:bCs/>
                <w:sz w:val="24"/>
                <w:szCs w:val="24"/>
              </w:rPr>
              <w:t>Thames Audit on Tumour Marker Service Provision</w:t>
            </w:r>
          </w:p>
          <w:p w14:paraId="42523D8B" w14:textId="77777777" w:rsidR="00FB2B71" w:rsidRPr="00BC7ADD" w:rsidRDefault="00FB2B71" w:rsidP="00BC7ADD">
            <w:pPr>
              <w:spacing w:after="0"/>
            </w:pPr>
          </w:p>
          <w:p w14:paraId="680FCFEA" w14:textId="77777777" w:rsidR="00FB2B71" w:rsidRPr="00BC7ADD" w:rsidRDefault="00FB2B71" w:rsidP="00BC7ADD">
            <w:pPr>
              <w:spacing w:after="0"/>
            </w:pPr>
          </w:p>
        </w:tc>
      </w:tr>
      <w:tr w:rsidR="00FB2B71" w:rsidRPr="00BC7ADD" w14:paraId="7145EA1D" w14:textId="77777777">
        <w:tc>
          <w:tcPr>
            <w:tcW w:w="4620" w:type="dxa"/>
          </w:tcPr>
          <w:p w14:paraId="04498948" w14:textId="77777777" w:rsidR="00FB2B71" w:rsidRDefault="00FB2B71" w:rsidP="00BC7ADD">
            <w:pPr>
              <w:spacing w:after="0"/>
              <w:rPr>
                <w:b/>
                <w:bCs/>
              </w:rPr>
            </w:pPr>
            <w:r w:rsidRPr="00BC7ADD">
              <w:rPr>
                <w:b/>
                <w:bCs/>
              </w:rPr>
              <w:t>Lead Auditor:</w:t>
            </w:r>
          </w:p>
          <w:p w14:paraId="6E2E2A38" w14:textId="47EBFBD7" w:rsidR="00FE30FC" w:rsidRPr="00FE30FC" w:rsidRDefault="00FE30FC" w:rsidP="00BC7ADD">
            <w:pPr>
              <w:spacing w:after="0"/>
              <w:rPr>
                <w:bCs/>
                <w:sz w:val="24"/>
                <w:szCs w:val="24"/>
              </w:rPr>
            </w:pPr>
            <w:r w:rsidRPr="00FE30FC">
              <w:rPr>
                <w:bCs/>
                <w:sz w:val="24"/>
                <w:szCs w:val="24"/>
              </w:rPr>
              <w:t>Peter West</w:t>
            </w:r>
          </w:p>
        </w:tc>
        <w:tc>
          <w:tcPr>
            <w:tcW w:w="4622" w:type="dxa"/>
          </w:tcPr>
          <w:p w14:paraId="7C169C34" w14:textId="77777777" w:rsidR="00FB2B71" w:rsidRPr="00BC7ADD" w:rsidRDefault="00FB2B71" w:rsidP="00BC7ADD">
            <w:pPr>
              <w:spacing w:after="0"/>
              <w:rPr>
                <w:b/>
                <w:bCs/>
              </w:rPr>
            </w:pPr>
            <w:r w:rsidRPr="00BC7ADD">
              <w:rPr>
                <w:b/>
                <w:bCs/>
              </w:rPr>
              <w:t>Audit date(s):</w:t>
            </w:r>
          </w:p>
          <w:p w14:paraId="0A736C75" w14:textId="77777777" w:rsidR="00FB2B71" w:rsidRPr="00BC7ADD" w:rsidRDefault="00FB2B71" w:rsidP="00BC7ADD">
            <w:pPr>
              <w:spacing w:after="0"/>
              <w:rPr>
                <w:sz w:val="18"/>
                <w:szCs w:val="18"/>
              </w:rPr>
            </w:pPr>
          </w:p>
          <w:p w14:paraId="091477D5" w14:textId="60743253" w:rsidR="00FB2B71" w:rsidRPr="00FE30FC" w:rsidRDefault="00FE30FC" w:rsidP="00BC7ADD">
            <w:pPr>
              <w:spacing w:after="0"/>
              <w:rPr>
                <w:sz w:val="24"/>
                <w:szCs w:val="24"/>
              </w:rPr>
            </w:pPr>
            <w:r>
              <w:rPr>
                <w:sz w:val="24"/>
                <w:szCs w:val="24"/>
              </w:rPr>
              <w:t>23</w:t>
            </w:r>
            <w:r w:rsidRPr="00FE30FC">
              <w:rPr>
                <w:sz w:val="24"/>
                <w:szCs w:val="24"/>
                <w:vertAlign w:val="superscript"/>
              </w:rPr>
              <w:t>rd</w:t>
            </w:r>
            <w:r>
              <w:rPr>
                <w:sz w:val="24"/>
                <w:szCs w:val="24"/>
              </w:rPr>
              <w:t xml:space="preserve"> May 2018</w:t>
            </w:r>
          </w:p>
        </w:tc>
      </w:tr>
      <w:tr w:rsidR="00FB2B71" w:rsidRPr="00BC7ADD" w14:paraId="59FFDECA" w14:textId="77777777">
        <w:tc>
          <w:tcPr>
            <w:tcW w:w="4620" w:type="dxa"/>
          </w:tcPr>
          <w:p w14:paraId="22333C2B" w14:textId="77777777" w:rsidR="00FB2B71" w:rsidRPr="00BC7ADD" w:rsidRDefault="00FB2B71" w:rsidP="00BC7ADD">
            <w:pPr>
              <w:spacing w:after="0"/>
            </w:pPr>
            <w:r w:rsidRPr="00BC7ADD">
              <w:rPr>
                <w:sz w:val="18"/>
                <w:szCs w:val="18"/>
              </w:rPr>
              <w:t xml:space="preserve">Please indicate if   </w:t>
            </w:r>
            <w:r w:rsidRPr="00BC7ADD">
              <w:rPr>
                <w:b/>
                <w:bCs/>
              </w:rPr>
              <w:t>Local / Regional / National Audit</w:t>
            </w:r>
          </w:p>
          <w:p w14:paraId="22980B2D" w14:textId="77777777" w:rsidR="00FB2B71" w:rsidRPr="00BC7ADD" w:rsidRDefault="00FB2B71" w:rsidP="00BC7ADD">
            <w:pPr>
              <w:spacing w:after="0"/>
              <w:rPr>
                <w:sz w:val="18"/>
                <w:szCs w:val="18"/>
              </w:rPr>
            </w:pPr>
            <w:r w:rsidRPr="00BC7ADD">
              <w:rPr>
                <w:sz w:val="18"/>
                <w:szCs w:val="18"/>
              </w:rPr>
              <w:t>Please indicate which hospital &amp; location or region</w:t>
            </w:r>
          </w:p>
          <w:p w14:paraId="3DF170C0" w14:textId="035B5E55" w:rsidR="00FB2B71" w:rsidRPr="00FE30FC" w:rsidRDefault="00FE30FC" w:rsidP="00BC7ADD">
            <w:pPr>
              <w:spacing w:after="0"/>
              <w:rPr>
                <w:bCs/>
                <w:sz w:val="24"/>
              </w:rPr>
            </w:pPr>
            <w:r w:rsidRPr="00FE30FC">
              <w:rPr>
                <w:bCs/>
                <w:sz w:val="24"/>
              </w:rPr>
              <w:t>Regional</w:t>
            </w:r>
          </w:p>
          <w:p w14:paraId="727F4073" w14:textId="77777777" w:rsidR="00FB2B71" w:rsidRPr="00BC7ADD" w:rsidRDefault="00FB2B71" w:rsidP="00BC7ADD">
            <w:pPr>
              <w:spacing w:after="0"/>
              <w:rPr>
                <w:b/>
                <w:bCs/>
              </w:rPr>
            </w:pPr>
          </w:p>
          <w:p w14:paraId="16D87FA7" w14:textId="77777777" w:rsidR="00FB2B71" w:rsidRPr="00BC7ADD" w:rsidRDefault="00FB2B71" w:rsidP="00BC7ADD">
            <w:pPr>
              <w:spacing w:after="0"/>
              <w:rPr>
                <w:b/>
                <w:bCs/>
              </w:rPr>
            </w:pPr>
          </w:p>
        </w:tc>
        <w:tc>
          <w:tcPr>
            <w:tcW w:w="4622" w:type="dxa"/>
          </w:tcPr>
          <w:p w14:paraId="0AA5F786" w14:textId="77777777" w:rsidR="00FB2B71" w:rsidRPr="00BC7ADD" w:rsidRDefault="00FB2B71" w:rsidP="00BC7ADD">
            <w:pPr>
              <w:spacing w:after="0"/>
              <w:rPr>
                <w:b/>
                <w:bCs/>
              </w:rPr>
            </w:pPr>
            <w:r w:rsidRPr="00BC7ADD">
              <w:rPr>
                <w:b/>
                <w:bCs/>
              </w:rPr>
              <w:t>Report Author:</w:t>
            </w:r>
          </w:p>
          <w:p w14:paraId="1C157898" w14:textId="2901E50B" w:rsidR="00FB2B71" w:rsidRPr="00FE30FC" w:rsidRDefault="00FB2B71" w:rsidP="00BC7ADD">
            <w:pPr>
              <w:spacing w:after="0"/>
              <w:rPr>
                <w:sz w:val="24"/>
                <w:szCs w:val="24"/>
              </w:rPr>
            </w:pPr>
            <w:r w:rsidRPr="00BC7ADD">
              <w:t>Name:</w:t>
            </w:r>
            <w:r w:rsidR="00FE30FC">
              <w:rPr>
                <w:sz w:val="24"/>
                <w:szCs w:val="24"/>
              </w:rPr>
              <w:t xml:space="preserve"> Peter West</w:t>
            </w:r>
          </w:p>
          <w:p w14:paraId="7EC0196F" w14:textId="77777777" w:rsidR="00FB2B71" w:rsidRPr="00BC7ADD" w:rsidRDefault="00FB2B71" w:rsidP="00BC7ADD">
            <w:pPr>
              <w:spacing w:after="0"/>
            </w:pPr>
          </w:p>
          <w:p w14:paraId="2A9CBCB3" w14:textId="076FCC4A" w:rsidR="00FB2B71" w:rsidRPr="00FE30FC" w:rsidRDefault="00FE30FC" w:rsidP="00BC7ADD">
            <w:pPr>
              <w:spacing w:after="0"/>
              <w:rPr>
                <w:sz w:val="24"/>
                <w:szCs w:val="24"/>
              </w:rPr>
            </w:pPr>
            <w:r w:rsidRPr="00BC7ADD">
              <w:t>Email:</w:t>
            </w:r>
            <w:r>
              <w:rPr>
                <w:sz w:val="24"/>
                <w:szCs w:val="24"/>
              </w:rPr>
              <w:t xml:space="preserve"> peterwest@nhs.net</w:t>
            </w:r>
          </w:p>
        </w:tc>
      </w:tr>
      <w:tr w:rsidR="00FB2B71" w:rsidRPr="00BC7ADD" w14:paraId="6F8B0987" w14:textId="77777777">
        <w:tc>
          <w:tcPr>
            <w:tcW w:w="9242" w:type="dxa"/>
            <w:gridSpan w:val="2"/>
          </w:tcPr>
          <w:p w14:paraId="4812DB53" w14:textId="77777777" w:rsidR="00FB2B71" w:rsidRPr="00BC7ADD" w:rsidRDefault="00FB2B71" w:rsidP="00BC7ADD">
            <w:pPr>
              <w:spacing w:after="0"/>
              <w:rPr>
                <w:b/>
                <w:bCs/>
              </w:rPr>
            </w:pPr>
            <w:r w:rsidRPr="00BC7ADD">
              <w:rPr>
                <w:b/>
                <w:bCs/>
              </w:rPr>
              <w:t>Aims of the Audit:</w:t>
            </w:r>
          </w:p>
          <w:p w14:paraId="1674E73B" w14:textId="46A1F048" w:rsidR="00FB2B71" w:rsidRPr="00BC7ADD" w:rsidRDefault="00FE30FC" w:rsidP="00FE30FC">
            <w:pPr>
              <w:tabs>
                <w:tab w:val="left" w:pos="1584"/>
              </w:tabs>
              <w:spacing w:after="0"/>
            </w:pPr>
            <w:r>
              <w:rPr>
                <w:sz w:val="24"/>
                <w:szCs w:val="24"/>
              </w:rPr>
              <w:t>To ascertain the current tumour marker service being provided by laboratories within the Thames Region</w:t>
            </w:r>
            <w:r>
              <w:tab/>
            </w:r>
          </w:p>
          <w:p w14:paraId="1DD78160" w14:textId="77777777" w:rsidR="00FB2B71" w:rsidRPr="00BC7ADD" w:rsidRDefault="00FB2B71" w:rsidP="00BC7ADD">
            <w:pPr>
              <w:spacing w:after="0"/>
            </w:pPr>
          </w:p>
        </w:tc>
      </w:tr>
      <w:tr w:rsidR="00FB2B71" w:rsidRPr="00BC7ADD" w14:paraId="341C1DEE" w14:textId="77777777">
        <w:tc>
          <w:tcPr>
            <w:tcW w:w="9242" w:type="dxa"/>
            <w:gridSpan w:val="2"/>
          </w:tcPr>
          <w:p w14:paraId="43F96F16" w14:textId="7F70A079" w:rsidR="00FB2B71" w:rsidRDefault="00FB2B71" w:rsidP="00BC7ADD">
            <w:pPr>
              <w:spacing w:after="0"/>
              <w:rPr>
                <w:bCs/>
                <w:sz w:val="24"/>
                <w:szCs w:val="24"/>
              </w:rPr>
            </w:pPr>
            <w:r w:rsidRPr="00BC7ADD">
              <w:rPr>
                <w:b/>
                <w:bCs/>
              </w:rPr>
              <w:t>Audit Method and Outcome(s</w:t>
            </w:r>
            <w:r w:rsidR="000D3EEC" w:rsidRPr="00BC7ADD">
              <w:rPr>
                <w:b/>
                <w:bCs/>
              </w:rPr>
              <w:t>):</w:t>
            </w:r>
            <w:r w:rsidR="000D3EEC" w:rsidRPr="000D3EEC">
              <w:rPr>
                <w:bCs/>
                <w:sz w:val="24"/>
                <w:szCs w:val="24"/>
              </w:rPr>
              <w:t xml:space="preserve"> Questionnaire</w:t>
            </w:r>
            <w:r w:rsidR="00FE30FC" w:rsidRPr="000D3EEC">
              <w:rPr>
                <w:bCs/>
                <w:sz w:val="24"/>
                <w:szCs w:val="24"/>
              </w:rPr>
              <w:t xml:space="preserve"> sent to laboratories within the Region</w:t>
            </w:r>
          </w:p>
          <w:p w14:paraId="1EC94B01" w14:textId="5EAC021B" w:rsidR="000D3EEC" w:rsidRDefault="000D3EEC" w:rsidP="000D3EEC">
            <w:pPr>
              <w:numPr>
                <w:ilvl w:val="0"/>
                <w:numId w:val="3"/>
              </w:numPr>
              <w:spacing w:after="0"/>
              <w:rPr>
                <w:bCs/>
                <w:sz w:val="24"/>
                <w:szCs w:val="24"/>
              </w:rPr>
            </w:pPr>
            <w:r w:rsidRPr="000D3EEC">
              <w:rPr>
                <w:bCs/>
                <w:sz w:val="24"/>
                <w:szCs w:val="24"/>
              </w:rPr>
              <w:t>As expected,</w:t>
            </w:r>
            <w:r>
              <w:rPr>
                <w:bCs/>
                <w:sz w:val="24"/>
                <w:szCs w:val="24"/>
              </w:rPr>
              <w:t xml:space="preserve"> most of the more routine tumour markers were assayed on site.</w:t>
            </w:r>
          </w:p>
          <w:p w14:paraId="38A59C0F" w14:textId="29E965E9" w:rsidR="000D3EEC" w:rsidRDefault="000D3EEC" w:rsidP="000D3EEC">
            <w:pPr>
              <w:numPr>
                <w:ilvl w:val="0"/>
                <w:numId w:val="3"/>
              </w:numPr>
              <w:spacing w:after="0"/>
              <w:rPr>
                <w:bCs/>
                <w:sz w:val="24"/>
                <w:szCs w:val="24"/>
              </w:rPr>
            </w:pPr>
            <w:r>
              <w:rPr>
                <w:bCs/>
                <w:sz w:val="24"/>
                <w:szCs w:val="24"/>
              </w:rPr>
              <w:t>Very few laboratories provided a guideline for the appropriate use of tumour markers and when they did exist, Clinical Scientists had an input into their production.</w:t>
            </w:r>
          </w:p>
          <w:p w14:paraId="681CFECB" w14:textId="119C7EAB" w:rsidR="000D3EEC" w:rsidRDefault="000D3EEC" w:rsidP="000D3EEC">
            <w:pPr>
              <w:numPr>
                <w:ilvl w:val="0"/>
                <w:numId w:val="3"/>
              </w:numPr>
              <w:spacing w:after="0"/>
              <w:rPr>
                <w:bCs/>
                <w:sz w:val="24"/>
                <w:szCs w:val="24"/>
              </w:rPr>
            </w:pPr>
            <w:r>
              <w:rPr>
                <w:bCs/>
                <w:sz w:val="24"/>
                <w:szCs w:val="24"/>
              </w:rPr>
              <w:t>Very few laboratories had performed a local audit of their tumour marker service.</w:t>
            </w:r>
          </w:p>
          <w:p w14:paraId="3BB41301" w14:textId="52622C54" w:rsidR="000D3EEC" w:rsidRDefault="000E3AC2" w:rsidP="000D3EEC">
            <w:pPr>
              <w:numPr>
                <w:ilvl w:val="0"/>
                <w:numId w:val="3"/>
              </w:numPr>
              <w:spacing w:after="0"/>
              <w:rPr>
                <w:bCs/>
                <w:sz w:val="24"/>
                <w:szCs w:val="24"/>
              </w:rPr>
            </w:pPr>
            <w:r>
              <w:rPr>
                <w:bCs/>
                <w:sz w:val="24"/>
                <w:szCs w:val="24"/>
              </w:rPr>
              <w:t>Most</w:t>
            </w:r>
            <w:r w:rsidR="000D3EEC">
              <w:rPr>
                <w:bCs/>
                <w:sz w:val="24"/>
                <w:szCs w:val="24"/>
              </w:rPr>
              <w:t xml:space="preserve"> laboratories routinely reviewed their tumour marker requests and as expected these tended to be for those tests referred to another laboratory for analysis.</w:t>
            </w:r>
          </w:p>
          <w:p w14:paraId="79EE0F98" w14:textId="1147A90A" w:rsidR="000D3EEC" w:rsidRDefault="000D3EEC" w:rsidP="000D3EEC">
            <w:pPr>
              <w:numPr>
                <w:ilvl w:val="0"/>
                <w:numId w:val="3"/>
              </w:numPr>
              <w:spacing w:after="0"/>
              <w:rPr>
                <w:bCs/>
                <w:sz w:val="24"/>
                <w:szCs w:val="24"/>
              </w:rPr>
            </w:pPr>
            <w:r>
              <w:rPr>
                <w:bCs/>
                <w:sz w:val="24"/>
                <w:szCs w:val="24"/>
              </w:rPr>
              <w:t>The main reasons for rejecting a request were an inappropriate request and no clinical details given.</w:t>
            </w:r>
          </w:p>
          <w:p w14:paraId="052CA347" w14:textId="1B65517C" w:rsidR="000D3EEC" w:rsidRDefault="000E3AC2" w:rsidP="000D3EEC">
            <w:pPr>
              <w:numPr>
                <w:ilvl w:val="0"/>
                <w:numId w:val="3"/>
              </w:numPr>
              <w:spacing w:after="0"/>
              <w:rPr>
                <w:bCs/>
                <w:sz w:val="24"/>
                <w:szCs w:val="24"/>
              </w:rPr>
            </w:pPr>
            <w:r>
              <w:rPr>
                <w:bCs/>
                <w:sz w:val="24"/>
                <w:szCs w:val="24"/>
              </w:rPr>
              <w:t>Most</w:t>
            </w:r>
            <w:r w:rsidR="000D3EEC">
              <w:rPr>
                <w:bCs/>
                <w:sz w:val="24"/>
                <w:szCs w:val="24"/>
              </w:rPr>
              <w:t xml:space="preserve"> laboratories received tumour marker requests from their Accident and Emergency department and stated their reasons for either accepting or rejecting such requests.</w:t>
            </w:r>
          </w:p>
          <w:p w14:paraId="58EE7290" w14:textId="752AB00D" w:rsidR="000D3EEC" w:rsidRDefault="000D3EEC" w:rsidP="000D3EEC">
            <w:pPr>
              <w:numPr>
                <w:ilvl w:val="0"/>
                <w:numId w:val="3"/>
              </w:numPr>
              <w:spacing w:after="0"/>
              <w:rPr>
                <w:bCs/>
                <w:sz w:val="24"/>
                <w:szCs w:val="24"/>
              </w:rPr>
            </w:pPr>
            <w:r>
              <w:rPr>
                <w:bCs/>
                <w:sz w:val="24"/>
                <w:szCs w:val="24"/>
              </w:rPr>
              <w:t>All those laboratories who received requests for tumour markers from primary care accepted requests other than PSA.</w:t>
            </w:r>
          </w:p>
          <w:p w14:paraId="01B0CE53" w14:textId="663848A8" w:rsidR="000D3EEC" w:rsidRDefault="000D3EEC" w:rsidP="000D3EEC">
            <w:pPr>
              <w:numPr>
                <w:ilvl w:val="0"/>
                <w:numId w:val="3"/>
              </w:numPr>
              <w:spacing w:after="0"/>
              <w:rPr>
                <w:bCs/>
                <w:sz w:val="24"/>
                <w:szCs w:val="24"/>
              </w:rPr>
            </w:pPr>
            <w:r>
              <w:rPr>
                <w:bCs/>
                <w:sz w:val="24"/>
                <w:szCs w:val="24"/>
              </w:rPr>
              <w:t>There was some variation as to the availability of tumour markers between laboratories.</w:t>
            </w:r>
          </w:p>
          <w:p w14:paraId="18484A26" w14:textId="1F0DBA35" w:rsidR="000D3EEC" w:rsidRDefault="000D3EEC" w:rsidP="000D3EEC">
            <w:pPr>
              <w:numPr>
                <w:ilvl w:val="0"/>
                <w:numId w:val="3"/>
              </w:numPr>
              <w:spacing w:after="0"/>
              <w:rPr>
                <w:bCs/>
                <w:sz w:val="24"/>
                <w:szCs w:val="24"/>
              </w:rPr>
            </w:pPr>
            <w:r>
              <w:rPr>
                <w:bCs/>
                <w:sz w:val="24"/>
                <w:szCs w:val="24"/>
              </w:rPr>
              <w:t>There was some variation as to how laboratories responded to an urgent request for tumour markers.</w:t>
            </w:r>
          </w:p>
          <w:p w14:paraId="2235B1B4" w14:textId="6DB89529" w:rsidR="007F1397" w:rsidRDefault="000D3EEC" w:rsidP="007F1397">
            <w:pPr>
              <w:numPr>
                <w:ilvl w:val="0"/>
                <w:numId w:val="3"/>
              </w:numPr>
              <w:spacing w:after="0"/>
              <w:rPr>
                <w:bCs/>
                <w:sz w:val="24"/>
                <w:szCs w:val="24"/>
              </w:rPr>
            </w:pPr>
            <w:r>
              <w:rPr>
                <w:bCs/>
                <w:sz w:val="24"/>
                <w:szCs w:val="24"/>
              </w:rPr>
              <w:t>Most laboratories analysed tumour markers in fluids other than serum or plasma and there was some variation as to what markers</w:t>
            </w:r>
            <w:r w:rsidR="007F1397">
              <w:rPr>
                <w:bCs/>
                <w:sz w:val="24"/>
                <w:szCs w:val="24"/>
              </w:rPr>
              <w:t xml:space="preserve"> were offered and in what fluids.</w:t>
            </w:r>
          </w:p>
          <w:p w14:paraId="06691A53" w14:textId="7175EB92" w:rsidR="007F1397" w:rsidRDefault="000E3AC2" w:rsidP="007F1397">
            <w:pPr>
              <w:numPr>
                <w:ilvl w:val="0"/>
                <w:numId w:val="3"/>
              </w:numPr>
              <w:spacing w:after="0"/>
              <w:rPr>
                <w:bCs/>
                <w:sz w:val="24"/>
                <w:szCs w:val="24"/>
              </w:rPr>
            </w:pPr>
            <w:r>
              <w:rPr>
                <w:bCs/>
                <w:sz w:val="24"/>
                <w:szCs w:val="24"/>
              </w:rPr>
              <w:t>Most laboratories</w:t>
            </w:r>
            <w:r w:rsidR="007F1397">
              <w:rPr>
                <w:bCs/>
                <w:sz w:val="24"/>
                <w:szCs w:val="24"/>
              </w:rPr>
              <w:t xml:space="preserve"> had not validated their method for the measurement of such fluids and some did mention this o their laboratory report.</w:t>
            </w:r>
          </w:p>
          <w:p w14:paraId="64EA8C7A" w14:textId="1C3C87DC" w:rsidR="007F1397" w:rsidRDefault="000E3AC2" w:rsidP="007F1397">
            <w:pPr>
              <w:numPr>
                <w:ilvl w:val="0"/>
                <w:numId w:val="3"/>
              </w:numPr>
              <w:spacing w:after="0"/>
              <w:rPr>
                <w:bCs/>
                <w:sz w:val="24"/>
                <w:szCs w:val="24"/>
              </w:rPr>
            </w:pPr>
            <w:r>
              <w:rPr>
                <w:bCs/>
                <w:sz w:val="24"/>
                <w:szCs w:val="24"/>
              </w:rPr>
              <w:t>Most</w:t>
            </w:r>
            <w:r w:rsidR="007F1397">
              <w:rPr>
                <w:bCs/>
                <w:sz w:val="24"/>
                <w:szCs w:val="24"/>
              </w:rPr>
              <w:t xml:space="preserve"> laboratories quoted reference ranges for their tumour markers and age-related reference ranges for PSA.</w:t>
            </w:r>
          </w:p>
          <w:p w14:paraId="079B9CDD" w14:textId="55C4DE8C" w:rsidR="007F1397" w:rsidRDefault="000E3AC2" w:rsidP="007F1397">
            <w:pPr>
              <w:numPr>
                <w:ilvl w:val="0"/>
                <w:numId w:val="3"/>
              </w:numPr>
              <w:spacing w:after="0"/>
              <w:rPr>
                <w:bCs/>
                <w:sz w:val="24"/>
                <w:szCs w:val="24"/>
              </w:rPr>
            </w:pPr>
            <w:r>
              <w:rPr>
                <w:bCs/>
                <w:sz w:val="24"/>
                <w:szCs w:val="24"/>
              </w:rPr>
              <w:t>Most</w:t>
            </w:r>
            <w:r w:rsidR="007F1397">
              <w:rPr>
                <w:bCs/>
                <w:sz w:val="24"/>
                <w:szCs w:val="24"/>
              </w:rPr>
              <w:t xml:space="preserve"> laboratories did not comment on their laboratory report that reference ranges for tumour markers are not well defined and should be used for guidance purposes only.</w:t>
            </w:r>
          </w:p>
          <w:p w14:paraId="108CE747" w14:textId="4C5C6278" w:rsidR="007F1397" w:rsidRDefault="000E3AC2" w:rsidP="007F1397">
            <w:pPr>
              <w:numPr>
                <w:ilvl w:val="0"/>
                <w:numId w:val="3"/>
              </w:numPr>
              <w:spacing w:after="0"/>
              <w:rPr>
                <w:bCs/>
                <w:sz w:val="24"/>
                <w:szCs w:val="24"/>
              </w:rPr>
            </w:pPr>
            <w:r>
              <w:rPr>
                <w:bCs/>
                <w:sz w:val="24"/>
                <w:szCs w:val="24"/>
              </w:rPr>
              <w:t>Most</w:t>
            </w:r>
            <w:r w:rsidR="007F1397">
              <w:rPr>
                <w:bCs/>
                <w:sz w:val="24"/>
                <w:szCs w:val="24"/>
              </w:rPr>
              <w:t xml:space="preserve"> laboratories did not state the method used to measure the tumour marker.</w:t>
            </w:r>
          </w:p>
          <w:p w14:paraId="6BC98AFB" w14:textId="48F6E975" w:rsidR="007F1397" w:rsidRDefault="007F1397" w:rsidP="007F1397">
            <w:pPr>
              <w:numPr>
                <w:ilvl w:val="0"/>
                <w:numId w:val="3"/>
              </w:numPr>
              <w:spacing w:after="0"/>
              <w:rPr>
                <w:bCs/>
                <w:sz w:val="24"/>
                <w:szCs w:val="24"/>
              </w:rPr>
            </w:pPr>
            <w:r>
              <w:rPr>
                <w:bCs/>
                <w:sz w:val="24"/>
                <w:szCs w:val="24"/>
              </w:rPr>
              <w:t>Equal numbers of laboratories did or did not comment on their laboratory report regarding the specificity of tumour markers.</w:t>
            </w:r>
          </w:p>
          <w:p w14:paraId="4366FC1B" w14:textId="4E78D684" w:rsidR="007F1397" w:rsidRDefault="000E3AC2" w:rsidP="007F1397">
            <w:pPr>
              <w:numPr>
                <w:ilvl w:val="0"/>
                <w:numId w:val="3"/>
              </w:numPr>
              <w:spacing w:after="0"/>
              <w:rPr>
                <w:bCs/>
                <w:sz w:val="24"/>
                <w:szCs w:val="24"/>
              </w:rPr>
            </w:pPr>
            <w:r>
              <w:rPr>
                <w:bCs/>
                <w:sz w:val="24"/>
                <w:szCs w:val="24"/>
              </w:rPr>
              <w:t>Most</w:t>
            </w:r>
            <w:r w:rsidR="007F1397">
              <w:rPr>
                <w:bCs/>
                <w:sz w:val="24"/>
                <w:szCs w:val="24"/>
              </w:rPr>
              <w:t xml:space="preserve"> laboratories did not comment on their laboratory report that measurement of tumour markers is not recommended in patients with vague symptoms when the population likelihood of cancer is low and most that tumour markers can be elevated in a variety of non-malignant conditions.</w:t>
            </w:r>
          </w:p>
          <w:p w14:paraId="1AD50CE0" w14:textId="4A178870" w:rsidR="007F1397" w:rsidRDefault="000E3AC2" w:rsidP="007F1397">
            <w:pPr>
              <w:numPr>
                <w:ilvl w:val="0"/>
                <w:numId w:val="3"/>
              </w:numPr>
              <w:spacing w:after="0"/>
              <w:rPr>
                <w:bCs/>
                <w:sz w:val="24"/>
                <w:szCs w:val="24"/>
              </w:rPr>
            </w:pPr>
            <w:r>
              <w:rPr>
                <w:bCs/>
                <w:sz w:val="24"/>
                <w:szCs w:val="24"/>
              </w:rPr>
              <w:t>Most</w:t>
            </w:r>
            <w:r w:rsidR="007F1397">
              <w:rPr>
                <w:bCs/>
                <w:sz w:val="24"/>
                <w:szCs w:val="24"/>
              </w:rPr>
              <w:t xml:space="preserve"> laboratories did not produce cumulative reports for tumour markers.</w:t>
            </w:r>
          </w:p>
          <w:p w14:paraId="394CBCEC" w14:textId="5CCD45FE" w:rsidR="007F1397" w:rsidRDefault="000E3AC2" w:rsidP="007F1397">
            <w:pPr>
              <w:numPr>
                <w:ilvl w:val="0"/>
                <w:numId w:val="3"/>
              </w:numPr>
              <w:spacing w:after="0"/>
              <w:rPr>
                <w:bCs/>
                <w:sz w:val="24"/>
                <w:szCs w:val="24"/>
              </w:rPr>
            </w:pPr>
            <w:r>
              <w:rPr>
                <w:bCs/>
                <w:sz w:val="24"/>
                <w:szCs w:val="24"/>
              </w:rPr>
              <w:t>Most</w:t>
            </w:r>
            <w:r w:rsidR="007F1397">
              <w:rPr>
                <w:bCs/>
                <w:sz w:val="24"/>
                <w:szCs w:val="24"/>
              </w:rPr>
              <w:t xml:space="preserve"> laboratories telephoned tumour marker results and there was some variation as to which markers were telephoned and when.</w:t>
            </w:r>
          </w:p>
          <w:p w14:paraId="6BDE0813" w14:textId="714583BC" w:rsidR="007F1397" w:rsidRDefault="000E3AC2" w:rsidP="007F1397">
            <w:pPr>
              <w:numPr>
                <w:ilvl w:val="0"/>
                <w:numId w:val="3"/>
              </w:numPr>
              <w:spacing w:after="0"/>
              <w:rPr>
                <w:bCs/>
                <w:sz w:val="24"/>
                <w:szCs w:val="24"/>
              </w:rPr>
            </w:pPr>
            <w:r>
              <w:rPr>
                <w:bCs/>
                <w:sz w:val="24"/>
                <w:szCs w:val="24"/>
              </w:rPr>
              <w:t>Most</w:t>
            </w:r>
            <w:r w:rsidR="007F1397">
              <w:rPr>
                <w:bCs/>
                <w:sz w:val="24"/>
                <w:szCs w:val="24"/>
              </w:rPr>
              <w:t xml:space="preserve"> laboratories did not have minimum re-test intervals for requesting tumour markers.</w:t>
            </w:r>
          </w:p>
          <w:p w14:paraId="1AEDCD6D" w14:textId="14CDCCE7" w:rsidR="007F1397" w:rsidRDefault="000E3AC2" w:rsidP="007F1397">
            <w:pPr>
              <w:numPr>
                <w:ilvl w:val="0"/>
                <w:numId w:val="3"/>
              </w:numPr>
              <w:spacing w:after="0"/>
              <w:rPr>
                <w:bCs/>
                <w:sz w:val="24"/>
                <w:szCs w:val="24"/>
              </w:rPr>
            </w:pPr>
            <w:r>
              <w:rPr>
                <w:bCs/>
                <w:sz w:val="24"/>
                <w:szCs w:val="24"/>
              </w:rPr>
              <w:t>Most</w:t>
            </w:r>
            <w:r w:rsidR="007F1397">
              <w:rPr>
                <w:bCs/>
                <w:sz w:val="24"/>
                <w:szCs w:val="24"/>
              </w:rPr>
              <w:t xml:space="preserve"> laboratories had not been involved in organising and presenting talks</w:t>
            </w:r>
            <w:r w:rsidR="001C6CA5">
              <w:rPr>
                <w:bCs/>
                <w:sz w:val="24"/>
                <w:szCs w:val="24"/>
              </w:rPr>
              <w:t xml:space="preserve"> on the appropriate use of tumour markers to clinical and other health professional staff.</w:t>
            </w:r>
          </w:p>
          <w:p w14:paraId="6A5E8DF8" w14:textId="7DD38735" w:rsidR="001C6CA5" w:rsidRDefault="000E3AC2" w:rsidP="007F1397">
            <w:pPr>
              <w:numPr>
                <w:ilvl w:val="0"/>
                <w:numId w:val="3"/>
              </w:numPr>
              <w:spacing w:after="0"/>
              <w:rPr>
                <w:bCs/>
                <w:sz w:val="24"/>
                <w:szCs w:val="24"/>
              </w:rPr>
            </w:pPr>
            <w:r>
              <w:rPr>
                <w:bCs/>
                <w:sz w:val="24"/>
                <w:szCs w:val="24"/>
              </w:rPr>
              <w:t>Most</w:t>
            </w:r>
            <w:r w:rsidR="001C6CA5">
              <w:rPr>
                <w:bCs/>
                <w:sz w:val="24"/>
                <w:szCs w:val="24"/>
              </w:rPr>
              <w:t xml:space="preserve"> laboratories did not issue recommendations regarding when to collect blood for PSA.</w:t>
            </w:r>
          </w:p>
          <w:p w14:paraId="7E6CF425" w14:textId="481EE854" w:rsidR="001C6CA5" w:rsidRDefault="001C6CA5" w:rsidP="007F1397">
            <w:pPr>
              <w:numPr>
                <w:ilvl w:val="0"/>
                <w:numId w:val="3"/>
              </w:numPr>
              <w:spacing w:after="0"/>
              <w:rPr>
                <w:bCs/>
                <w:sz w:val="24"/>
                <w:szCs w:val="24"/>
              </w:rPr>
            </w:pPr>
            <w:r>
              <w:rPr>
                <w:bCs/>
                <w:sz w:val="24"/>
                <w:szCs w:val="24"/>
              </w:rPr>
              <w:t xml:space="preserve">As </w:t>
            </w:r>
            <w:r w:rsidR="000E3AC2">
              <w:rPr>
                <w:bCs/>
                <w:sz w:val="24"/>
                <w:szCs w:val="24"/>
              </w:rPr>
              <w:t>expected, most laboratories</w:t>
            </w:r>
            <w:r>
              <w:rPr>
                <w:bCs/>
                <w:sz w:val="24"/>
                <w:szCs w:val="24"/>
              </w:rPr>
              <w:t xml:space="preserve"> had seen a large increase in requests for CA125 since the 2011 NICE guideline for ovarian cancer.</w:t>
            </w:r>
          </w:p>
          <w:p w14:paraId="7EC0B0E4" w14:textId="66300FFB" w:rsidR="001C6CA5" w:rsidRPr="007F1397" w:rsidRDefault="001C6CA5" w:rsidP="007F1397">
            <w:pPr>
              <w:numPr>
                <w:ilvl w:val="0"/>
                <w:numId w:val="3"/>
              </w:numPr>
              <w:spacing w:after="0"/>
              <w:rPr>
                <w:bCs/>
                <w:sz w:val="24"/>
                <w:szCs w:val="24"/>
              </w:rPr>
            </w:pPr>
            <w:r>
              <w:rPr>
                <w:bCs/>
                <w:sz w:val="24"/>
                <w:szCs w:val="24"/>
              </w:rPr>
              <w:t>There was some variation as to the analyser used to measure tumour markers.</w:t>
            </w:r>
          </w:p>
          <w:p w14:paraId="53278053" w14:textId="77777777" w:rsidR="00FB2B71" w:rsidRPr="00BC7ADD" w:rsidRDefault="00FB2B71" w:rsidP="00BC7ADD">
            <w:pPr>
              <w:spacing w:after="0"/>
            </w:pPr>
          </w:p>
          <w:p w14:paraId="2D72C81F" w14:textId="77777777" w:rsidR="00FB2B71" w:rsidRPr="00BC7ADD" w:rsidRDefault="00FB2B71" w:rsidP="00BC7ADD">
            <w:pPr>
              <w:spacing w:after="0"/>
            </w:pPr>
          </w:p>
          <w:p w14:paraId="27740A2E" w14:textId="77777777" w:rsidR="00FB2B71" w:rsidRPr="00BC7ADD" w:rsidRDefault="00FB2B71" w:rsidP="00BC7ADD">
            <w:pPr>
              <w:spacing w:after="0"/>
            </w:pPr>
          </w:p>
          <w:p w14:paraId="29B7540A" w14:textId="77777777" w:rsidR="00FB2B71" w:rsidRDefault="00FB2B71" w:rsidP="00BC7ADD">
            <w:pPr>
              <w:spacing w:after="0"/>
            </w:pPr>
          </w:p>
          <w:p w14:paraId="791FC87D" w14:textId="77777777" w:rsidR="00FB2B71" w:rsidRPr="00BC7ADD" w:rsidRDefault="00FB2B71" w:rsidP="00BC7ADD">
            <w:pPr>
              <w:spacing w:after="0"/>
            </w:pPr>
          </w:p>
          <w:p w14:paraId="535B60D7" w14:textId="77777777" w:rsidR="00FB2B71" w:rsidRPr="00BC7ADD" w:rsidRDefault="00FB2B71" w:rsidP="00BC7ADD">
            <w:pPr>
              <w:spacing w:after="0"/>
            </w:pPr>
          </w:p>
          <w:p w14:paraId="739EF4A4" w14:textId="77777777" w:rsidR="00FB2B71" w:rsidRPr="00BC7ADD" w:rsidRDefault="00FB2B71" w:rsidP="00BC7ADD">
            <w:pPr>
              <w:spacing w:after="0"/>
            </w:pPr>
          </w:p>
        </w:tc>
      </w:tr>
      <w:tr w:rsidR="00FB2B71" w:rsidRPr="00BC7ADD" w14:paraId="2AEAF532" w14:textId="77777777">
        <w:tc>
          <w:tcPr>
            <w:tcW w:w="9242" w:type="dxa"/>
            <w:gridSpan w:val="2"/>
          </w:tcPr>
          <w:p w14:paraId="35B51219" w14:textId="77777777" w:rsidR="00FB2B71" w:rsidRPr="00BC7ADD" w:rsidRDefault="00FB2B71" w:rsidP="00BC7ADD">
            <w:pPr>
              <w:spacing w:after="0"/>
              <w:rPr>
                <w:b/>
                <w:bCs/>
              </w:rPr>
            </w:pPr>
            <w:r w:rsidRPr="00BC7ADD">
              <w:rPr>
                <w:b/>
                <w:bCs/>
              </w:rPr>
              <w:t>Audit Recommendations / Standards:</w:t>
            </w:r>
          </w:p>
          <w:p w14:paraId="7E840C5D" w14:textId="7D755B03" w:rsidR="00FB2B71" w:rsidRDefault="00C34021" w:rsidP="00C34021">
            <w:pPr>
              <w:numPr>
                <w:ilvl w:val="0"/>
                <w:numId w:val="4"/>
              </w:numPr>
              <w:spacing w:after="0"/>
              <w:rPr>
                <w:sz w:val="24"/>
                <w:szCs w:val="24"/>
              </w:rPr>
            </w:pPr>
            <w:r>
              <w:rPr>
                <w:sz w:val="24"/>
                <w:szCs w:val="24"/>
              </w:rPr>
              <w:t>Laboratories should wherever possible adopt local guidelines for non-specialists for the most appropriate use of tumour markers and these should be based on nationally or internationally developed evidence-based guidelines.</w:t>
            </w:r>
          </w:p>
          <w:p w14:paraId="53213954" w14:textId="50FA1C17" w:rsidR="00C34021" w:rsidRDefault="00C34021" w:rsidP="00C34021">
            <w:pPr>
              <w:numPr>
                <w:ilvl w:val="0"/>
                <w:numId w:val="4"/>
              </w:numPr>
              <w:spacing w:after="0"/>
              <w:rPr>
                <w:sz w:val="24"/>
                <w:szCs w:val="24"/>
              </w:rPr>
            </w:pPr>
            <w:r>
              <w:rPr>
                <w:sz w:val="24"/>
                <w:szCs w:val="24"/>
              </w:rPr>
              <w:t>Laboratories should regularly audit their tumour marker service in order to review the requesting pattern and use.</w:t>
            </w:r>
          </w:p>
          <w:p w14:paraId="2614811D" w14:textId="115A4505" w:rsidR="00C34021" w:rsidRDefault="00C34021" w:rsidP="00C34021">
            <w:pPr>
              <w:numPr>
                <w:ilvl w:val="0"/>
                <w:numId w:val="4"/>
              </w:numPr>
              <w:spacing w:after="0"/>
              <w:rPr>
                <w:sz w:val="24"/>
                <w:szCs w:val="24"/>
              </w:rPr>
            </w:pPr>
            <w:r>
              <w:rPr>
                <w:sz w:val="24"/>
                <w:szCs w:val="24"/>
              </w:rPr>
              <w:t>Clinical Scientists should demand manage the service to ensure that only the most appropriate requests are processed, in particular those sent to another laboratory for assay.</w:t>
            </w:r>
          </w:p>
          <w:p w14:paraId="2B161BE2" w14:textId="0C66B6C8" w:rsidR="00C34021" w:rsidRDefault="00C34021" w:rsidP="00C34021">
            <w:pPr>
              <w:numPr>
                <w:ilvl w:val="0"/>
                <w:numId w:val="4"/>
              </w:numPr>
              <w:spacing w:after="0"/>
              <w:rPr>
                <w:sz w:val="24"/>
                <w:szCs w:val="24"/>
              </w:rPr>
            </w:pPr>
            <w:r>
              <w:rPr>
                <w:sz w:val="24"/>
                <w:szCs w:val="24"/>
              </w:rPr>
              <w:t xml:space="preserve">The only requests that should be processed from primary care are PSA in </w:t>
            </w:r>
            <w:r w:rsidR="000E3AC2">
              <w:rPr>
                <w:sz w:val="24"/>
                <w:szCs w:val="24"/>
              </w:rPr>
              <w:t>males, CA</w:t>
            </w:r>
            <w:r>
              <w:rPr>
                <w:sz w:val="24"/>
                <w:szCs w:val="24"/>
              </w:rPr>
              <w:t>125 in females and where the GP is following up a patient being treated by a secondary care physician.</w:t>
            </w:r>
          </w:p>
          <w:p w14:paraId="611018E3" w14:textId="721B1B8E" w:rsidR="00C34021" w:rsidRDefault="00C34021" w:rsidP="00C34021">
            <w:pPr>
              <w:numPr>
                <w:ilvl w:val="0"/>
                <w:numId w:val="4"/>
              </w:numPr>
              <w:spacing w:after="0"/>
              <w:rPr>
                <w:sz w:val="24"/>
                <w:szCs w:val="24"/>
              </w:rPr>
            </w:pPr>
            <w:r>
              <w:rPr>
                <w:sz w:val="24"/>
                <w:szCs w:val="24"/>
              </w:rPr>
              <w:t xml:space="preserve">Where tumour markers are measured in </w:t>
            </w:r>
            <w:r w:rsidR="000E3AC2">
              <w:rPr>
                <w:sz w:val="24"/>
                <w:szCs w:val="24"/>
              </w:rPr>
              <w:t>fluids, the</w:t>
            </w:r>
            <w:r>
              <w:rPr>
                <w:sz w:val="24"/>
                <w:szCs w:val="24"/>
              </w:rPr>
              <w:t xml:space="preserve"> report should state that the method has not been validated if this is the case.</w:t>
            </w:r>
          </w:p>
          <w:p w14:paraId="52C09983" w14:textId="39470B47" w:rsidR="00C34021" w:rsidRDefault="00C34021" w:rsidP="00C34021">
            <w:pPr>
              <w:numPr>
                <w:ilvl w:val="0"/>
                <w:numId w:val="4"/>
              </w:numPr>
              <w:spacing w:after="0"/>
              <w:rPr>
                <w:sz w:val="24"/>
                <w:szCs w:val="24"/>
              </w:rPr>
            </w:pPr>
            <w:r>
              <w:rPr>
                <w:sz w:val="24"/>
                <w:szCs w:val="24"/>
              </w:rPr>
              <w:t xml:space="preserve">Laboratories should state the relevant reference range of the tumour marker on the report and emphasise that these are not well defined and only to be used a </w:t>
            </w:r>
            <w:r w:rsidR="000E3AC2">
              <w:rPr>
                <w:sz w:val="24"/>
                <w:szCs w:val="24"/>
              </w:rPr>
              <w:t>guidance, that</w:t>
            </w:r>
            <w:r>
              <w:rPr>
                <w:sz w:val="24"/>
                <w:szCs w:val="24"/>
              </w:rPr>
              <w:t xml:space="preserve"> a value below or above the quoted reference range does not exclude or imply the presence of a </w:t>
            </w:r>
            <w:r w:rsidR="000E3AC2">
              <w:rPr>
                <w:sz w:val="24"/>
                <w:szCs w:val="24"/>
              </w:rPr>
              <w:t>tumour, that</w:t>
            </w:r>
            <w:r>
              <w:rPr>
                <w:sz w:val="24"/>
                <w:szCs w:val="24"/>
              </w:rPr>
              <w:t xml:space="preserve"> benign conditions may cause a </w:t>
            </w:r>
            <w:r w:rsidR="000E3AC2">
              <w:rPr>
                <w:sz w:val="24"/>
                <w:szCs w:val="24"/>
              </w:rPr>
              <w:t>rise, some</w:t>
            </w:r>
            <w:r>
              <w:rPr>
                <w:sz w:val="24"/>
                <w:szCs w:val="24"/>
              </w:rPr>
              <w:t xml:space="preserve"> transient in serum tumour marker levels</w:t>
            </w:r>
            <w:r w:rsidR="00580DB9">
              <w:rPr>
                <w:sz w:val="24"/>
                <w:szCs w:val="24"/>
              </w:rPr>
              <w:t xml:space="preserve"> that may lead to an incorrect interpretation and that factors such as </w:t>
            </w:r>
            <w:r w:rsidR="000E3AC2">
              <w:rPr>
                <w:sz w:val="24"/>
                <w:szCs w:val="24"/>
              </w:rPr>
              <w:t>lifestyle, medication</w:t>
            </w:r>
            <w:r w:rsidR="00580DB9">
              <w:rPr>
                <w:sz w:val="24"/>
                <w:szCs w:val="24"/>
              </w:rPr>
              <w:t xml:space="preserve"> and medical intervention can also influence the results and where possible state their method as results from different methods are not necessarily comparable.</w:t>
            </w:r>
          </w:p>
          <w:p w14:paraId="0753DA6C" w14:textId="402C5D27" w:rsidR="00580DB9" w:rsidRDefault="00580DB9" w:rsidP="00C34021">
            <w:pPr>
              <w:numPr>
                <w:ilvl w:val="0"/>
                <w:numId w:val="4"/>
              </w:numPr>
              <w:spacing w:after="0"/>
              <w:rPr>
                <w:sz w:val="24"/>
                <w:szCs w:val="24"/>
              </w:rPr>
            </w:pPr>
            <w:r>
              <w:rPr>
                <w:sz w:val="24"/>
                <w:szCs w:val="24"/>
              </w:rPr>
              <w:t>Tumour marker results should always be interpreted in the context of all available clinical and laboratory information.</w:t>
            </w:r>
          </w:p>
          <w:p w14:paraId="3AA5B328" w14:textId="16286DB9" w:rsidR="00FB2B71" w:rsidRDefault="00580DB9" w:rsidP="00BC7ADD">
            <w:pPr>
              <w:numPr>
                <w:ilvl w:val="0"/>
                <w:numId w:val="4"/>
              </w:numPr>
              <w:spacing w:after="0"/>
              <w:rPr>
                <w:sz w:val="24"/>
                <w:szCs w:val="24"/>
              </w:rPr>
            </w:pPr>
            <w:r>
              <w:rPr>
                <w:sz w:val="24"/>
                <w:szCs w:val="24"/>
              </w:rPr>
              <w:t>Laboratories should advise users of the service of factors that can affect the interpretation of tumour marker measurements such a UTI and catheterisation prior to a PSA measurement and that samples are collected at the correct time after a particular procedure such as digital rectal examination.</w:t>
            </w:r>
          </w:p>
          <w:p w14:paraId="28061D83" w14:textId="39D03D90" w:rsidR="00580DB9" w:rsidRDefault="00580DB9" w:rsidP="00BC7ADD">
            <w:pPr>
              <w:numPr>
                <w:ilvl w:val="0"/>
                <w:numId w:val="4"/>
              </w:numPr>
              <w:spacing w:after="0"/>
              <w:rPr>
                <w:sz w:val="24"/>
                <w:szCs w:val="24"/>
              </w:rPr>
            </w:pPr>
            <w:r>
              <w:rPr>
                <w:sz w:val="24"/>
                <w:szCs w:val="24"/>
              </w:rPr>
              <w:t>Laboratories should provide guidance on the appropriate frequency of tumour marker measurements eg:by recommending minimum re-test intervals.</w:t>
            </w:r>
          </w:p>
          <w:p w14:paraId="6B40ED96" w14:textId="7764A63F" w:rsidR="00580DB9" w:rsidRPr="00580DB9" w:rsidRDefault="00580DB9" w:rsidP="00580DB9">
            <w:pPr>
              <w:numPr>
                <w:ilvl w:val="0"/>
                <w:numId w:val="4"/>
              </w:numPr>
              <w:spacing w:after="0"/>
              <w:rPr>
                <w:sz w:val="24"/>
                <w:szCs w:val="24"/>
              </w:rPr>
            </w:pPr>
            <w:r>
              <w:rPr>
                <w:sz w:val="24"/>
                <w:szCs w:val="24"/>
              </w:rPr>
              <w:t xml:space="preserve">Requests for tumour markers from Accident and Emergency should be discouraged wherever possible as these are often requested in a patient with vague </w:t>
            </w:r>
            <w:r w:rsidR="000E3AC2">
              <w:rPr>
                <w:sz w:val="24"/>
                <w:szCs w:val="24"/>
              </w:rPr>
              <w:t>symptoms. The</w:t>
            </w:r>
            <w:r>
              <w:rPr>
                <w:sz w:val="24"/>
                <w:szCs w:val="24"/>
              </w:rPr>
              <w:t xml:space="preserve"> possible exception would be in a known cancer patient under the care of a secondary care physician.</w:t>
            </w:r>
          </w:p>
          <w:p w14:paraId="01D6DD0D" w14:textId="77777777" w:rsidR="00FB2B71" w:rsidRPr="00BC7ADD" w:rsidRDefault="00FB2B71" w:rsidP="00BC7ADD">
            <w:pPr>
              <w:spacing w:after="0"/>
            </w:pPr>
          </w:p>
        </w:tc>
      </w:tr>
      <w:tr w:rsidR="00FB2B71" w:rsidRPr="00BC7ADD" w14:paraId="3CA7F1FC" w14:textId="77777777">
        <w:tc>
          <w:tcPr>
            <w:tcW w:w="9242" w:type="dxa"/>
            <w:gridSpan w:val="2"/>
          </w:tcPr>
          <w:p w14:paraId="12CD3EDC" w14:textId="77777777" w:rsidR="00FB2B71" w:rsidRPr="00BC7ADD" w:rsidRDefault="00FB2B71" w:rsidP="00BC7ADD">
            <w:pPr>
              <w:spacing w:after="0"/>
              <w:rPr>
                <w:b/>
                <w:bCs/>
              </w:rPr>
            </w:pPr>
            <w:r w:rsidRPr="00BC7ADD">
              <w:rPr>
                <w:b/>
                <w:bCs/>
              </w:rPr>
              <w:t>Please indicate to whom and when audit presented  &amp;/or circulated</w:t>
            </w:r>
            <w:r>
              <w:rPr>
                <w:b/>
                <w:bCs/>
              </w:rPr>
              <w:t>&amp;/or published</w:t>
            </w:r>
            <w:r w:rsidRPr="00BC7ADD">
              <w:rPr>
                <w:b/>
                <w:bCs/>
              </w:rPr>
              <w:t>:</w:t>
            </w:r>
          </w:p>
          <w:p w14:paraId="66F1312C" w14:textId="76293AD4" w:rsidR="00FB2B71" w:rsidRPr="00E30791" w:rsidRDefault="00580DB9" w:rsidP="00580DB9">
            <w:pPr>
              <w:tabs>
                <w:tab w:val="left" w:pos="1200"/>
              </w:tabs>
              <w:spacing w:after="0"/>
              <w:rPr>
                <w:sz w:val="24"/>
                <w:szCs w:val="24"/>
              </w:rPr>
            </w:pPr>
            <w:r>
              <w:tab/>
            </w:r>
            <w:r w:rsidR="00E30791">
              <w:rPr>
                <w:sz w:val="24"/>
                <w:szCs w:val="24"/>
              </w:rPr>
              <w:t>Findings presented at the Thames Audit meeting on 23</w:t>
            </w:r>
            <w:r w:rsidR="00E30791" w:rsidRPr="00E30791">
              <w:rPr>
                <w:sz w:val="24"/>
                <w:szCs w:val="24"/>
                <w:vertAlign w:val="superscript"/>
              </w:rPr>
              <w:t>rd</w:t>
            </w:r>
            <w:r w:rsidR="00E30791">
              <w:rPr>
                <w:sz w:val="24"/>
                <w:szCs w:val="24"/>
              </w:rPr>
              <w:t xml:space="preserve"> May 2018</w:t>
            </w:r>
          </w:p>
          <w:p w14:paraId="4DF8481D" w14:textId="77777777" w:rsidR="00FB2B71" w:rsidRPr="00BC7ADD" w:rsidRDefault="00FB2B71" w:rsidP="00BC7ADD">
            <w:pPr>
              <w:spacing w:after="0"/>
            </w:pPr>
          </w:p>
          <w:p w14:paraId="48F3664A" w14:textId="77777777" w:rsidR="00FB2B71" w:rsidRPr="00BC7ADD" w:rsidRDefault="00FB2B71" w:rsidP="00BC7ADD">
            <w:pPr>
              <w:spacing w:after="0"/>
            </w:pPr>
          </w:p>
        </w:tc>
      </w:tr>
      <w:tr w:rsidR="00FB2B71" w:rsidRPr="00BC7ADD" w14:paraId="6ACDF3EB" w14:textId="77777777">
        <w:tc>
          <w:tcPr>
            <w:tcW w:w="9242" w:type="dxa"/>
            <w:gridSpan w:val="2"/>
          </w:tcPr>
          <w:p w14:paraId="11FB26DE" w14:textId="77777777" w:rsidR="00FB2B71" w:rsidRPr="00BC7ADD" w:rsidRDefault="00FB2B71" w:rsidP="00BC7ADD">
            <w:pPr>
              <w:spacing w:after="0"/>
              <w:rPr>
                <w:b/>
                <w:bCs/>
              </w:rPr>
            </w:pPr>
            <w:r w:rsidRPr="00BC7ADD">
              <w:rPr>
                <w:b/>
                <w:bCs/>
              </w:rPr>
              <w:t>Audit recommendations / standards ratified by … and when:</w:t>
            </w:r>
          </w:p>
          <w:p w14:paraId="6B0ECFB6" w14:textId="77777777" w:rsidR="00FB2B71" w:rsidRPr="00BC7ADD" w:rsidRDefault="00FB2B71" w:rsidP="00BC7ADD">
            <w:pPr>
              <w:spacing w:after="0"/>
            </w:pPr>
          </w:p>
          <w:p w14:paraId="32437ABF" w14:textId="1806288B" w:rsidR="00FB2B71" w:rsidRPr="00E30791" w:rsidRDefault="00580DB9" w:rsidP="00BC7ADD">
            <w:pPr>
              <w:spacing w:after="0"/>
              <w:rPr>
                <w:sz w:val="24"/>
                <w:szCs w:val="24"/>
              </w:rPr>
            </w:pPr>
            <w:r w:rsidRPr="00E30791">
              <w:rPr>
                <w:sz w:val="24"/>
                <w:szCs w:val="24"/>
              </w:rPr>
              <w:t>Ratified at the Thames Audit meeting</w:t>
            </w:r>
            <w:r w:rsidR="00AF76D7">
              <w:rPr>
                <w:sz w:val="24"/>
                <w:szCs w:val="24"/>
              </w:rPr>
              <w:t xml:space="preserve"> of 23</w:t>
            </w:r>
            <w:r w:rsidR="00AF76D7" w:rsidRPr="00AF76D7">
              <w:rPr>
                <w:sz w:val="24"/>
                <w:szCs w:val="24"/>
                <w:vertAlign w:val="superscript"/>
              </w:rPr>
              <w:t>rd</w:t>
            </w:r>
            <w:r w:rsidR="00AF76D7">
              <w:rPr>
                <w:sz w:val="24"/>
                <w:szCs w:val="24"/>
              </w:rPr>
              <w:t xml:space="preserve"> May 2018</w:t>
            </w:r>
          </w:p>
          <w:p w14:paraId="61C8AE27" w14:textId="77777777" w:rsidR="00FB2B71" w:rsidRPr="00BC7ADD" w:rsidRDefault="00FB2B71" w:rsidP="00BC7ADD">
            <w:pPr>
              <w:spacing w:after="0"/>
            </w:pPr>
          </w:p>
        </w:tc>
      </w:tr>
      <w:tr w:rsidR="00FB2B71" w:rsidRPr="00BC7ADD" w14:paraId="278303D4" w14:textId="77777777">
        <w:tc>
          <w:tcPr>
            <w:tcW w:w="9242" w:type="dxa"/>
            <w:gridSpan w:val="2"/>
          </w:tcPr>
          <w:p w14:paraId="7A1371D5" w14:textId="06D278CE" w:rsidR="00FB2B71" w:rsidRPr="00E30791" w:rsidRDefault="00FB2B71" w:rsidP="00BC7ADD">
            <w:pPr>
              <w:spacing w:after="0"/>
              <w:rPr>
                <w:b/>
                <w:bCs/>
                <w:sz w:val="24"/>
                <w:szCs w:val="24"/>
              </w:rPr>
            </w:pPr>
            <w:r w:rsidRPr="00BC7ADD">
              <w:rPr>
                <w:b/>
                <w:bCs/>
              </w:rPr>
              <w:t>Date of audit report:</w:t>
            </w:r>
            <w:r w:rsidR="00E30791">
              <w:rPr>
                <w:b/>
                <w:bCs/>
              </w:rPr>
              <w:t xml:space="preserve"> </w:t>
            </w:r>
            <w:r w:rsidR="00E30791">
              <w:rPr>
                <w:b/>
                <w:bCs/>
                <w:sz w:val="24"/>
                <w:szCs w:val="24"/>
              </w:rPr>
              <w:t xml:space="preserve"> </w:t>
            </w:r>
            <w:r w:rsidR="00E30791" w:rsidRPr="00E30791">
              <w:rPr>
                <w:bCs/>
                <w:sz w:val="24"/>
                <w:szCs w:val="24"/>
              </w:rPr>
              <w:t>7</w:t>
            </w:r>
            <w:r w:rsidR="00E30791" w:rsidRPr="00E30791">
              <w:rPr>
                <w:bCs/>
                <w:sz w:val="24"/>
                <w:szCs w:val="24"/>
                <w:vertAlign w:val="superscript"/>
              </w:rPr>
              <w:t>th</w:t>
            </w:r>
            <w:r w:rsidR="00E30791" w:rsidRPr="00E30791">
              <w:rPr>
                <w:bCs/>
                <w:sz w:val="24"/>
                <w:szCs w:val="24"/>
              </w:rPr>
              <w:t xml:space="preserve"> June 2018</w:t>
            </w:r>
          </w:p>
          <w:p w14:paraId="5702F522" w14:textId="77777777" w:rsidR="00FB2B71" w:rsidRPr="00BC7ADD" w:rsidRDefault="00FB2B71" w:rsidP="00BC7ADD">
            <w:pPr>
              <w:spacing w:after="0"/>
            </w:pPr>
          </w:p>
        </w:tc>
      </w:tr>
      <w:tr w:rsidR="00FB2B71" w:rsidRPr="00BC7ADD" w14:paraId="1EA051CB" w14:textId="77777777">
        <w:tc>
          <w:tcPr>
            <w:tcW w:w="9242" w:type="dxa"/>
            <w:gridSpan w:val="2"/>
          </w:tcPr>
          <w:p w14:paraId="683693C3" w14:textId="77777777" w:rsidR="00FB2B71" w:rsidRDefault="00FB2B71" w:rsidP="00BC7ADD">
            <w:pPr>
              <w:spacing w:after="0"/>
              <w:rPr>
                <w:b/>
                <w:bCs/>
              </w:rPr>
            </w:pPr>
            <w:r>
              <w:rPr>
                <w:b/>
                <w:bCs/>
              </w:rPr>
              <w:t xml:space="preserve">Audit documents for upload to </w:t>
            </w:r>
            <w:r w:rsidRPr="001E7001">
              <w:rPr>
                <w:b/>
                <w:bCs/>
              </w:rPr>
              <w:t>http://www.acb.org.uk/whatwedo/science/audit.aspx</w:t>
            </w:r>
          </w:p>
          <w:p w14:paraId="10CF7F14" w14:textId="77777777" w:rsidR="00FB2B71" w:rsidRDefault="00FB2B71" w:rsidP="00BC7ADD">
            <w:pPr>
              <w:spacing w:after="0"/>
              <w:rPr>
                <w:i/>
                <w:iCs/>
              </w:rPr>
            </w:pPr>
            <w:r w:rsidRPr="005D7AFA">
              <w:rPr>
                <w:i/>
                <w:iCs/>
              </w:rPr>
              <w:t xml:space="preserve">Please include as attachments with this Audit </w:t>
            </w:r>
            <w:r>
              <w:rPr>
                <w:i/>
                <w:iCs/>
              </w:rPr>
              <w:t>Summary</w:t>
            </w:r>
            <w:r w:rsidRPr="005D7AFA">
              <w:rPr>
                <w:i/>
                <w:iCs/>
              </w:rPr>
              <w:t xml:space="preserve"> form if </w:t>
            </w:r>
            <w:r>
              <w:rPr>
                <w:i/>
                <w:iCs/>
              </w:rPr>
              <w:t>authors and the organising committee would like information to be publicly accessible on the ACB website Audit section.</w:t>
            </w:r>
          </w:p>
          <w:p w14:paraId="034AD093" w14:textId="77777777" w:rsidR="00FB2B71" w:rsidRPr="005D7AFA" w:rsidRDefault="00FB2B71" w:rsidP="00BC7ADD">
            <w:pPr>
              <w:spacing w:after="0"/>
              <w:rPr>
                <w:i/>
                <w:iCs/>
              </w:rPr>
            </w:pPr>
          </w:p>
          <w:bookmarkStart w:id="1" w:name="_MON_1603607618"/>
          <w:bookmarkEnd w:id="1"/>
          <w:p w14:paraId="0D44ACA8" w14:textId="30BC04A7" w:rsidR="00FB2B71" w:rsidRPr="00BC7ADD" w:rsidRDefault="008C3017" w:rsidP="008C3017">
            <w:pPr>
              <w:spacing w:after="0"/>
              <w:rPr>
                <w:b/>
                <w:bCs/>
              </w:rPr>
            </w:pPr>
            <w:r>
              <w:object w:dxaOrig="1550" w:dyaOrig="991" w14:anchorId="58E25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Word.Document.12" ShapeID="_x0000_i1025" DrawAspect="Icon" ObjectID="_1613817699" r:id="rId11">
                  <o:FieldCodes>\s</o:FieldCodes>
                </o:OLEObject>
              </w:object>
            </w:r>
            <w:bookmarkStart w:id="2" w:name="_MON_1603607658"/>
            <w:bookmarkEnd w:id="2"/>
            <w:r>
              <w:object w:dxaOrig="1550" w:dyaOrig="991" w14:anchorId="56D23DC8">
                <v:shape id="_x0000_i1026" type="#_x0000_t75" style="width:77.25pt;height:49.5pt" o:ole="">
                  <v:imagedata r:id="rId12" o:title=""/>
                </v:shape>
                <o:OLEObject Type="Embed" ProgID="PowerPoint.Show.12" ShapeID="_x0000_i1026" DrawAspect="Icon" ObjectID="_1613817700" r:id="rId13"/>
              </w:object>
            </w:r>
            <w:r>
              <w:object w:dxaOrig="1550" w:dyaOrig="991" w14:anchorId="380B52A2">
                <v:shape id="_x0000_i1027" type="#_x0000_t75" style="width:77.25pt;height:49.5pt" o:ole="">
                  <v:imagedata r:id="rId14" o:title=""/>
                </v:shape>
                <o:OLEObject Type="Embed" ProgID="PowerPoint.Show.12" ShapeID="_x0000_i1027" DrawAspect="Icon" ObjectID="_1613817701" r:id="rId15"/>
              </w:object>
            </w:r>
          </w:p>
        </w:tc>
      </w:tr>
    </w:tbl>
    <w:p w14:paraId="076EAB65" w14:textId="77777777" w:rsidR="00FB2B71" w:rsidRDefault="00FB2B71" w:rsidP="00E91F94"/>
    <w:sectPr w:rsidR="00FB2B71" w:rsidSect="00067E3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A83D2" w14:textId="77777777" w:rsidR="00FF1D98" w:rsidRDefault="00FF1D98" w:rsidP="00E91F94">
      <w:pPr>
        <w:spacing w:after="0"/>
      </w:pPr>
      <w:r>
        <w:separator/>
      </w:r>
    </w:p>
  </w:endnote>
  <w:endnote w:type="continuationSeparator" w:id="0">
    <w:p w14:paraId="55F987E3" w14:textId="77777777" w:rsidR="00FF1D98" w:rsidRDefault="00FF1D98" w:rsidP="00E91F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33721" w14:textId="77777777" w:rsidR="00FF1D98" w:rsidRDefault="00FF1D98" w:rsidP="00E91F94">
      <w:pPr>
        <w:spacing w:after="0"/>
      </w:pPr>
      <w:r>
        <w:separator/>
      </w:r>
    </w:p>
  </w:footnote>
  <w:footnote w:type="continuationSeparator" w:id="0">
    <w:p w14:paraId="5099D248" w14:textId="77777777" w:rsidR="00FF1D98" w:rsidRDefault="00FF1D98" w:rsidP="00E91F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47AE"/>
    <w:multiLevelType w:val="hybridMultilevel"/>
    <w:tmpl w:val="74B4B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682583"/>
    <w:multiLevelType w:val="hybridMultilevel"/>
    <w:tmpl w:val="8E34F8BA"/>
    <w:lvl w:ilvl="0" w:tplc="0809000F">
      <w:start w:val="1"/>
      <w:numFmt w:val="decimal"/>
      <w:lvlText w:val="%1."/>
      <w:lvlJc w:val="left"/>
      <w:pPr>
        <w:ind w:left="643" w:hanging="360"/>
      </w:p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start w:val="1"/>
      <w:numFmt w:val="decimal"/>
      <w:lvlText w:val="%4."/>
      <w:lvlJc w:val="left"/>
      <w:pPr>
        <w:ind w:left="2803" w:hanging="360"/>
      </w:pPr>
    </w:lvl>
    <w:lvl w:ilvl="4" w:tplc="08090019">
      <w:start w:val="1"/>
      <w:numFmt w:val="lowerLetter"/>
      <w:lvlText w:val="%5."/>
      <w:lvlJc w:val="left"/>
      <w:pPr>
        <w:ind w:left="3523" w:hanging="360"/>
      </w:pPr>
    </w:lvl>
    <w:lvl w:ilvl="5" w:tplc="0809001B">
      <w:start w:val="1"/>
      <w:numFmt w:val="lowerRoman"/>
      <w:lvlText w:val="%6."/>
      <w:lvlJc w:val="right"/>
      <w:pPr>
        <w:ind w:left="4243" w:hanging="180"/>
      </w:pPr>
    </w:lvl>
    <w:lvl w:ilvl="6" w:tplc="0809000F">
      <w:start w:val="1"/>
      <w:numFmt w:val="decimal"/>
      <w:lvlText w:val="%7."/>
      <w:lvlJc w:val="left"/>
      <w:pPr>
        <w:ind w:left="4963" w:hanging="360"/>
      </w:pPr>
    </w:lvl>
    <w:lvl w:ilvl="7" w:tplc="08090019">
      <w:start w:val="1"/>
      <w:numFmt w:val="lowerLetter"/>
      <w:lvlText w:val="%8."/>
      <w:lvlJc w:val="left"/>
      <w:pPr>
        <w:ind w:left="5683" w:hanging="360"/>
      </w:pPr>
    </w:lvl>
    <w:lvl w:ilvl="8" w:tplc="0809001B">
      <w:start w:val="1"/>
      <w:numFmt w:val="lowerRoman"/>
      <w:lvlText w:val="%9."/>
      <w:lvlJc w:val="right"/>
      <w:pPr>
        <w:ind w:left="6403" w:hanging="180"/>
      </w:pPr>
    </w:lvl>
  </w:abstractNum>
  <w:abstractNum w:abstractNumId="2">
    <w:nsid w:val="5E6E5DC7"/>
    <w:multiLevelType w:val="hybridMultilevel"/>
    <w:tmpl w:val="70DAD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2D516F"/>
    <w:multiLevelType w:val="hybridMultilevel"/>
    <w:tmpl w:val="BCC678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8E"/>
    <w:rsid w:val="00067E3B"/>
    <w:rsid w:val="000A41A0"/>
    <w:rsid w:val="000D3EEC"/>
    <w:rsid w:val="000E3AC2"/>
    <w:rsid w:val="0010188E"/>
    <w:rsid w:val="00103346"/>
    <w:rsid w:val="00132419"/>
    <w:rsid w:val="00187984"/>
    <w:rsid w:val="001A2402"/>
    <w:rsid w:val="001C6CA5"/>
    <w:rsid w:val="001E7001"/>
    <w:rsid w:val="001E7FE6"/>
    <w:rsid w:val="002416CA"/>
    <w:rsid w:val="003629D2"/>
    <w:rsid w:val="00376072"/>
    <w:rsid w:val="003D1E62"/>
    <w:rsid w:val="00411DD5"/>
    <w:rsid w:val="00440C38"/>
    <w:rsid w:val="004A2AD3"/>
    <w:rsid w:val="004E5188"/>
    <w:rsid w:val="00580DB9"/>
    <w:rsid w:val="005D7AFA"/>
    <w:rsid w:val="00627DDC"/>
    <w:rsid w:val="00684256"/>
    <w:rsid w:val="006968A1"/>
    <w:rsid w:val="006C195D"/>
    <w:rsid w:val="00723047"/>
    <w:rsid w:val="007F1397"/>
    <w:rsid w:val="00840D22"/>
    <w:rsid w:val="008A79BE"/>
    <w:rsid w:val="008C3017"/>
    <w:rsid w:val="009C0A0E"/>
    <w:rsid w:val="00A225A8"/>
    <w:rsid w:val="00AF2E0E"/>
    <w:rsid w:val="00AF76D7"/>
    <w:rsid w:val="00BC49A6"/>
    <w:rsid w:val="00BC7ADD"/>
    <w:rsid w:val="00C34021"/>
    <w:rsid w:val="00E30791"/>
    <w:rsid w:val="00E91F94"/>
    <w:rsid w:val="00E93980"/>
    <w:rsid w:val="00FB2B71"/>
    <w:rsid w:val="00FE30FC"/>
    <w:rsid w:val="00FF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4C1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A6"/>
    <w:pPr>
      <w:spacing w:after="200"/>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0188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C7ADD"/>
    <w:pPr>
      <w:spacing w:after="0"/>
    </w:pPr>
    <w:rPr>
      <w:rFonts w:ascii="Tahoma" w:hAnsi="Tahoma" w:cs="Tahoma"/>
      <w:sz w:val="16"/>
      <w:szCs w:val="16"/>
      <w:lang w:val="en-US" w:eastAsia="en-GB"/>
    </w:rPr>
  </w:style>
  <w:style w:type="character" w:customStyle="1" w:styleId="BalloonTextChar">
    <w:name w:val="Balloon Text Char"/>
    <w:link w:val="BalloonText"/>
    <w:uiPriority w:val="99"/>
    <w:semiHidden/>
    <w:locked/>
    <w:rsid w:val="00BC7ADD"/>
    <w:rPr>
      <w:rFonts w:ascii="Tahoma" w:hAnsi="Tahoma" w:cs="Tahoma"/>
      <w:sz w:val="16"/>
      <w:szCs w:val="16"/>
    </w:rPr>
  </w:style>
  <w:style w:type="paragraph" w:styleId="DocumentMap">
    <w:name w:val="Document Map"/>
    <w:basedOn w:val="Normal"/>
    <w:link w:val="DocumentMapChar"/>
    <w:uiPriority w:val="99"/>
    <w:semiHidden/>
    <w:rsid w:val="000A41A0"/>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850987"/>
    <w:rPr>
      <w:rFonts w:ascii="Times New Roman" w:hAnsi="Times New Roman"/>
      <w:sz w:val="0"/>
      <w:szCs w:val="0"/>
      <w:lang w:val="en-GB"/>
    </w:rPr>
  </w:style>
  <w:style w:type="paragraph" w:styleId="Header">
    <w:name w:val="header"/>
    <w:basedOn w:val="Normal"/>
    <w:link w:val="HeaderChar"/>
    <w:uiPriority w:val="99"/>
    <w:rsid w:val="00E91F94"/>
    <w:pPr>
      <w:tabs>
        <w:tab w:val="center" w:pos="4513"/>
        <w:tab w:val="right" w:pos="9026"/>
      </w:tabs>
    </w:pPr>
    <w:rPr>
      <w:lang w:val="en-US"/>
    </w:rPr>
  </w:style>
  <w:style w:type="character" w:customStyle="1" w:styleId="HeaderChar">
    <w:name w:val="Header Char"/>
    <w:link w:val="Header"/>
    <w:uiPriority w:val="99"/>
    <w:locked/>
    <w:rsid w:val="00E91F94"/>
    <w:rPr>
      <w:sz w:val="22"/>
      <w:szCs w:val="22"/>
      <w:lang w:eastAsia="en-US"/>
    </w:rPr>
  </w:style>
  <w:style w:type="paragraph" w:styleId="Footer">
    <w:name w:val="footer"/>
    <w:basedOn w:val="Normal"/>
    <w:link w:val="FooterChar"/>
    <w:uiPriority w:val="99"/>
    <w:rsid w:val="00E91F94"/>
    <w:pPr>
      <w:tabs>
        <w:tab w:val="center" w:pos="4513"/>
        <w:tab w:val="right" w:pos="9026"/>
      </w:tabs>
    </w:pPr>
    <w:rPr>
      <w:lang w:val="en-US"/>
    </w:rPr>
  </w:style>
  <w:style w:type="character" w:customStyle="1" w:styleId="FooterChar">
    <w:name w:val="Footer Char"/>
    <w:link w:val="Footer"/>
    <w:uiPriority w:val="99"/>
    <w:locked/>
    <w:rsid w:val="00E91F9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A6"/>
    <w:pPr>
      <w:spacing w:after="200"/>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0188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C7ADD"/>
    <w:pPr>
      <w:spacing w:after="0"/>
    </w:pPr>
    <w:rPr>
      <w:rFonts w:ascii="Tahoma" w:hAnsi="Tahoma" w:cs="Tahoma"/>
      <w:sz w:val="16"/>
      <w:szCs w:val="16"/>
      <w:lang w:val="en-US" w:eastAsia="en-GB"/>
    </w:rPr>
  </w:style>
  <w:style w:type="character" w:customStyle="1" w:styleId="BalloonTextChar">
    <w:name w:val="Balloon Text Char"/>
    <w:link w:val="BalloonText"/>
    <w:uiPriority w:val="99"/>
    <w:semiHidden/>
    <w:locked/>
    <w:rsid w:val="00BC7ADD"/>
    <w:rPr>
      <w:rFonts w:ascii="Tahoma" w:hAnsi="Tahoma" w:cs="Tahoma"/>
      <w:sz w:val="16"/>
      <w:szCs w:val="16"/>
    </w:rPr>
  </w:style>
  <w:style w:type="paragraph" w:styleId="DocumentMap">
    <w:name w:val="Document Map"/>
    <w:basedOn w:val="Normal"/>
    <w:link w:val="DocumentMapChar"/>
    <w:uiPriority w:val="99"/>
    <w:semiHidden/>
    <w:rsid w:val="000A41A0"/>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850987"/>
    <w:rPr>
      <w:rFonts w:ascii="Times New Roman" w:hAnsi="Times New Roman"/>
      <w:sz w:val="0"/>
      <w:szCs w:val="0"/>
      <w:lang w:val="en-GB"/>
    </w:rPr>
  </w:style>
  <w:style w:type="paragraph" w:styleId="Header">
    <w:name w:val="header"/>
    <w:basedOn w:val="Normal"/>
    <w:link w:val="HeaderChar"/>
    <w:uiPriority w:val="99"/>
    <w:rsid w:val="00E91F94"/>
    <w:pPr>
      <w:tabs>
        <w:tab w:val="center" w:pos="4513"/>
        <w:tab w:val="right" w:pos="9026"/>
      </w:tabs>
    </w:pPr>
    <w:rPr>
      <w:lang w:val="en-US"/>
    </w:rPr>
  </w:style>
  <w:style w:type="character" w:customStyle="1" w:styleId="HeaderChar">
    <w:name w:val="Header Char"/>
    <w:link w:val="Header"/>
    <w:uiPriority w:val="99"/>
    <w:locked/>
    <w:rsid w:val="00E91F94"/>
    <w:rPr>
      <w:sz w:val="22"/>
      <w:szCs w:val="22"/>
      <w:lang w:eastAsia="en-US"/>
    </w:rPr>
  </w:style>
  <w:style w:type="paragraph" w:styleId="Footer">
    <w:name w:val="footer"/>
    <w:basedOn w:val="Normal"/>
    <w:link w:val="FooterChar"/>
    <w:uiPriority w:val="99"/>
    <w:rsid w:val="00E91F94"/>
    <w:pPr>
      <w:tabs>
        <w:tab w:val="center" w:pos="4513"/>
        <w:tab w:val="right" w:pos="9026"/>
      </w:tabs>
    </w:pPr>
    <w:rPr>
      <w:lang w:val="en-US"/>
    </w:rPr>
  </w:style>
  <w:style w:type="character" w:customStyle="1" w:styleId="FooterChar">
    <w:name w:val="Footer Char"/>
    <w:link w:val="Footer"/>
    <w:uiPriority w:val="99"/>
    <w:locked/>
    <w:rsid w:val="00E91F9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PowerPoint_Presentation2.pptx"/><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package" Target="embeddings/Microsoft_PowerPoint_Presentation3.pptx"/><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5373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Audit Template</vt:lpstr>
    </vt:vector>
  </TitlesOfParts>
  <Company>BCH NHS Trust</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Template</dc:title>
  <dc:creator>M.Bignell</dc:creator>
  <cp:lastModifiedBy>Vaclav Stemberk</cp:lastModifiedBy>
  <cp:revision>2</cp:revision>
  <cp:lastPrinted>2014-09-17T17:37:00Z</cp:lastPrinted>
  <dcterms:created xsi:type="dcterms:W3CDTF">2019-03-11T13:55:00Z</dcterms:created>
  <dcterms:modified xsi:type="dcterms:W3CDTF">2019-03-11T13:55:00Z</dcterms:modified>
</cp:coreProperties>
</file>